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media/image3.png" ContentType="image/png"/>
  <Override PartName="/word/media/image1.jpeg" ContentType="image/jpeg"/>
  <Override PartName="/word/media/image9.wmf" ContentType="image/x-wmf"/>
  <Override PartName="/word/media/image2.png" ContentType="image/png"/>
  <Override PartName="/word/media/image4.png" ContentType="image/png"/>
  <Override PartName="/word/media/image5.wmf" ContentType="image/x-wmf"/>
  <Override PartName="/word/media/image6.wmf" ContentType="image/x-wmf"/>
  <Override PartName="/word/media/image7.wmf" ContentType="image/x-wmf"/>
  <Override PartName="/word/media/image8.wmf" ContentType="image/x-wmf"/>
  <Override PartName="/word/media/image10.wmf" ContentType="image/x-wmf"/>
  <Override PartName="/word/media/image11.png" ContentType="image/png"/>
  <Override PartName="/word/media/image12.png" ContentType="image/png"/>
  <Override PartName="/word/media/image13.png" ContentType="image/png"/>
  <Override PartName="/word/header1.xml" ContentType="application/vnd.openxmlformats-officedocument.wordprocessingml.header+xml"/>
  <Override PartName="/word/footer3.xml" ContentType="application/vnd.openxmlformats-officedocument.wordprocessingml.footer+xml"/>
  <Override PartName="/word/diagrams/quickStyle6.xml" ContentType="application/vnd.openxmlformats-officedocument.drawingml.diagramStyle+xml"/>
  <Override PartName="/word/diagrams/data4.xml" ContentType="application/vnd.openxmlformats-officedocument.drawingml.diagramData+xml"/>
  <Override PartName="/word/diagrams/drawing5.xml" ContentType="application/vnd.ms-office.drawingml.diagramDrawing+xml"/>
  <Override PartName="/word/diagrams/colors4.xml" ContentType="application/vnd.openxmlformats-officedocument.drawingml.diagramColors+xml"/>
  <Override PartName="/word/diagrams/quickStyle4.xml" ContentType="application/vnd.openxmlformats-officedocument.drawingml.diagramStyle+xml"/>
  <Override PartName="/word/diagrams/layout4.xml" ContentType="application/vnd.openxmlformats-officedocument.drawingml.diagramLayout+xml"/>
  <Override PartName="/word/diagrams/drawing4.xml" ContentType="application/vnd.ms-office.drawingml.diagramDrawing+xml"/>
  <Override PartName="/word/diagrams/quickStyle7.xml" ContentType="application/vnd.openxmlformats-officedocument.drawingml.diagramStyle+xml"/>
  <Override PartName="/word/diagrams/data5.xml" ContentType="application/vnd.openxmlformats-officedocument.drawingml.diagramData+xml"/>
  <Override PartName="/word/diagrams/drawing6.xml" ContentType="application/vnd.ms-office.drawingml.diagramDrawing+xml"/>
  <Override PartName="/word/diagrams/colors5.xml" ContentType="application/vnd.openxmlformats-officedocument.drawingml.diagramColors+xml"/>
  <Override PartName="/word/diagrams/quickStyle5.xml" ContentType="application/vnd.openxmlformats-officedocument.drawingml.diagramStyle+xml"/>
  <Override PartName="/word/diagrams/layout5.xml" ContentType="application/vnd.openxmlformats-officedocument.drawingml.diagramLayout+xml"/>
  <Override PartName="/word/diagrams/quickStyle8.xml" ContentType="application/vnd.openxmlformats-officedocument.drawingml.diagramStyle+xml"/>
  <Override PartName="/word/diagrams/data6.xml" ContentType="application/vnd.openxmlformats-officedocument.drawingml.diagramData+xml"/>
  <Override PartName="/word/diagrams/layout6.xml" ContentType="application/vnd.openxmlformats-officedocument.drawingml.diagramLayout+xml"/>
  <Override PartName="/word/diagrams/drawing7.xml" ContentType="application/vnd.ms-office.drawingml.diagramDrawing+xml"/>
  <Override PartName="/word/diagrams/colors6.xml" ContentType="application/vnd.openxmlformats-officedocument.drawingml.diagramColors+xml"/>
  <Override PartName="/word/diagrams/quickStyle9.xml" ContentType="application/vnd.openxmlformats-officedocument.drawingml.diagramStyle+xml"/>
  <Override PartName="/word/diagrams/data7.xml" ContentType="application/vnd.openxmlformats-officedocument.drawingml.diagramData+xml"/>
  <Override PartName="/word/diagrams/layout7.xml" ContentType="application/vnd.openxmlformats-officedocument.drawingml.diagramLayout+xml"/>
  <Override PartName="/word/diagrams/drawing8.xml" ContentType="application/vnd.ms-office.drawingml.diagramDrawing+xml"/>
  <Override PartName="/word/diagrams/colors7.xml" ContentType="application/vnd.openxmlformats-officedocument.drawingml.diagramColors+xml"/>
  <Override PartName="/word/diagrams/data8.xml" ContentType="application/vnd.openxmlformats-officedocument.drawingml.diagramData+xml"/>
  <Override PartName="/word/diagrams/layout8.xml" ContentType="application/vnd.openxmlformats-officedocument.drawingml.diagramLayout+xml"/>
  <Override PartName="/word/diagrams/drawing9.xml" ContentType="application/vnd.ms-office.drawingml.diagramDrawing+xml"/>
  <Override PartName="/word/diagrams/colors8.xml" ContentType="application/vnd.openxmlformats-officedocument.drawingml.diagramColors+xml"/>
  <Override PartName="/word/diagrams/data9.xml" ContentType="application/vnd.openxmlformats-officedocument.drawingml.diagramData+xml"/>
  <Override PartName="/word/diagrams/layout9.xml" ContentType="application/vnd.openxmlformats-officedocument.drawingml.diagramLayout+xml"/>
  <Override PartName="/word/diagrams/colors9.xml" ContentType="application/vnd.openxmlformats-officedocument.drawingml.diagramColors+xml"/>
  <Override PartName="/word/diagrams/data10.xml" ContentType="application/vnd.openxmlformats-officedocument.drawingml.diagramData+xml"/>
  <Override PartName="/word/diagrams/layout10.xml" ContentType="application/vnd.openxmlformats-officedocument.drawingml.diagramLayout+xml"/>
  <Override PartName="/word/diagrams/drawing11.xml" ContentType="application/vnd.ms-office.drawingml.diagramDrawing+xml"/>
  <Override PartName="/word/diagrams/colors10.xml" ContentType="application/vnd.openxmlformats-officedocument.drawingml.diagramColors+xml"/>
  <Override PartName="/word/diagrams/quickStyle10.xml" ContentType="application/vnd.openxmlformats-officedocument.drawingml.diagramStyle+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colors11.xml" ContentType="application/vnd.openxmlformats-officedocument.drawingml.diagramColors+xml"/>
  <Override PartName="/word/diagrams/quickStyle11.xml" ContentType="application/vnd.openxmlformats-officedocument.drawingml.diagramStyle+xml"/>
  <Override PartName="/word/charts/chart1.xml" ContentType="application/vnd.openxmlformats-officedocument.drawingml.chart+xml"/>
  <Override PartName="/word/charts/_rels/chart1.xml.rels" ContentType="application/vnd.openxmlformats-package.relationships+xml"/>
  <Override PartName="/word/footer2.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embeddings/Microsoft_Excel_Worksheet.xlsx" ContentType="application/vnd.openxmlformats-officedocument.spreadsheetml.sheet"/>
  <Override PartName="/word/_rels/document.xml.rels" ContentType="application/vnd.openxmlformats-package.relationships+xml"/>
  <Override PartName="/word/_rels/footnotes.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Gwka"/>
        <w:jc w:val="right"/>
        <w:rPr>
          <w:rFonts w:ascii="Liberation Serif" w:hAnsi="Liberation Serif"/>
          <w:b w:val="false"/>
          <w:b w:val="false"/>
          <w:bCs w:val="false"/>
          <w:sz w:val="24"/>
          <w:szCs w:val="24"/>
        </w:rPr>
      </w:pPr>
      <w:r>
        <w:rPr>
          <w:rFonts w:ascii="Liberation Serif" w:hAnsi="Liberation Serif"/>
          <w:b w:val="false"/>
          <w:bCs w:val="false"/>
          <w:sz w:val="24"/>
          <w:szCs w:val="24"/>
        </w:rPr>
        <w:t>Załącznik nr 1</w:t>
      </w:r>
    </w:p>
    <w:p>
      <w:pPr>
        <w:pStyle w:val="Gwka"/>
        <w:jc w:val="right"/>
        <w:rPr/>
      </w:pPr>
      <w:r>
        <w:rPr>
          <w:rFonts w:ascii="Liberation Serif" w:hAnsi="Liberation Serif"/>
          <w:b w:val="false"/>
          <w:bCs w:val="false"/>
          <w:sz w:val="24"/>
          <w:szCs w:val="24"/>
        </w:rPr>
        <w:t>do Uchwały nr .../…./20</w:t>
      </w:r>
      <w:r>
        <w:rPr>
          <w:rFonts w:ascii="Liberation Serif" w:hAnsi="Liberation Serif"/>
          <w:b w:val="false"/>
          <w:bCs w:val="false"/>
          <w:sz w:val="24"/>
          <w:szCs w:val="24"/>
        </w:rPr>
        <w:t>20</w:t>
      </w:r>
      <w:r>
        <w:rPr>
          <w:rFonts w:ascii="Liberation Serif" w:hAnsi="Liberation Serif"/>
          <w:b w:val="false"/>
          <w:bCs w:val="false"/>
          <w:sz w:val="24"/>
          <w:szCs w:val="24"/>
        </w:rPr>
        <w:t xml:space="preserve">  Rady Miejskiej w Mroczy z dnia ……... 20</w:t>
      </w:r>
      <w:r>
        <w:rPr>
          <w:rFonts w:ascii="Liberation Serif" w:hAnsi="Liberation Serif"/>
          <w:b w:val="false"/>
          <w:bCs w:val="false"/>
          <w:sz w:val="24"/>
          <w:szCs w:val="24"/>
        </w:rPr>
        <w:t>20</w:t>
      </w:r>
      <w:r>
        <w:rPr>
          <w:rFonts w:ascii="Liberation Serif" w:hAnsi="Liberation Serif"/>
          <w:b w:val="false"/>
          <w:bCs w:val="false"/>
          <w:sz w:val="24"/>
          <w:szCs w:val="24"/>
        </w:rPr>
        <w:t xml:space="preserve"> r.</w:t>
      </w:r>
    </w:p>
    <w:p>
      <w:pPr>
        <w:pStyle w:val="Gwka"/>
        <w:jc w:val="right"/>
        <w:rPr>
          <w:rFonts w:ascii="Liberation Serif" w:hAnsi="Liberation Serif"/>
          <w:b w:val="false"/>
          <w:b w:val="false"/>
          <w:bCs w:val="false"/>
          <w:sz w:val="24"/>
          <w:szCs w:val="24"/>
        </w:rPr>
      </w:pPr>
      <w:r>
        <w:rPr>
          <w:rFonts w:ascii="Liberation Serif" w:hAnsi="Liberation Serif"/>
          <w:b w:val="false"/>
          <w:bCs w:val="false"/>
          <w:sz w:val="24"/>
          <w:szCs w:val="24"/>
        </w:rPr>
      </w:r>
    </w:p>
    <w:p>
      <w:pPr>
        <w:pStyle w:val="Gwka"/>
        <w:jc w:val="right"/>
        <w:rPr>
          <w:rFonts w:ascii="Liberation Serif" w:hAnsi="Liberation Serif"/>
          <w:b w:val="false"/>
          <w:b w:val="false"/>
          <w:bCs w:val="false"/>
          <w:sz w:val="24"/>
          <w:szCs w:val="24"/>
        </w:rPr>
      </w:pPr>
      <w:r>
        <w:rPr>
          <w:rFonts w:ascii="Liberation Serif" w:hAnsi="Liberation Serif"/>
          <w:b w:val="false"/>
          <w:bCs w:val="false"/>
          <w:sz w:val="24"/>
          <w:szCs w:val="24"/>
        </w:rPr>
      </w:r>
    </w:p>
    <w:p>
      <w:pPr>
        <w:pStyle w:val="Gwka"/>
        <w:jc w:val="right"/>
        <w:rPr>
          <w:rFonts w:ascii="Liberation Serif" w:hAnsi="Liberation Serif"/>
          <w:b w:val="false"/>
          <w:b w:val="false"/>
          <w:bCs w:val="false"/>
          <w:sz w:val="24"/>
          <w:szCs w:val="24"/>
        </w:rPr>
      </w:pPr>
      <w:r>
        <w:rPr>
          <w:rFonts w:ascii="Liberation Serif" w:hAnsi="Liberation Serif"/>
          <w:b w:val="false"/>
          <w:bCs w:val="false"/>
          <w:sz w:val="24"/>
          <w:szCs w:val="24"/>
        </w:rPr>
      </w:r>
    </w:p>
    <w:p>
      <w:pPr>
        <w:pStyle w:val="Gwka"/>
        <w:jc w:val="right"/>
        <w:rPr>
          <w:rFonts w:ascii="Liberation Serif" w:hAnsi="Liberation Serif"/>
          <w:b w:val="false"/>
          <w:b w:val="false"/>
          <w:bCs w:val="false"/>
        </w:rPr>
      </w:pPr>
      <w:r>
        <w:rPr>
          <w:rFonts w:ascii="Liberation Serif" w:hAnsi="Liberation Serif"/>
          <w:b w:val="false"/>
          <w:bCs w:val="false"/>
        </w:rPr>
      </w:r>
    </w:p>
    <w:tbl>
      <w:tblPr>
        <w:tblpPr w:bottomFromText="0" w:horzAnchor="margin" w:leftFromText="141" w:rightFromText="141" w:tblpX="0" w:tblpY="1039" w:topFromText="0" w:vertAnchor="page"/>
        <w:tblW w:w="10191" w:type="dxa"/>
        <w:jc w:val="left"/>
        <w:tblInd w:w="0" w:type="dxa"/>
        <w:tblBorders>
          <w:top w:val="single" w:sz="12" w:space="0" w:color="0033CC"/>
          <w:left w:val="single" w:sz="12" w:space="0" w:color="0033CC"/>
          <w:bottom w:val="single" w:sz="12" w:space="0" w:color="0033CC"/>
          <w:insideH w:val="single" w:sz="12" w:space="0" w:color="0033CC"/>
        </w:tblBorders>
        <w:tblCellMar>
          <w:top w:w="0" w:type="dxa"/>
          <w:left w:w="48" w:type="dxa"/>
          <w:bottom w:w="0" w:type="dxa"/>
          <w:right w:w="108" w:type="dxa"/>
        </w:tblCellMar>
        <w:tblLook w:firstRow="1" w:noVBand="1" w:lastRow="0" w:firstColumn="1" w:lastColumn="0" w:noHBand="0" w:val="04a0"/>
      </w:tblPr>
      <w:tblGrid>
        <w:gridCol w:w="3225"/>
        <w:gridCol w:w="6965"/>
      </w:tblGrid>
      <w:tr>
        <w:trPr>
          <w:trHeight w:val="1189" w:hRule="atLeast"/>
        </w:trPr>
        <w:tc>
          <w:tcPr>
            <w:tcW w:w="3225" w:type="dxa"/>
            <w:tcBorders>
              <w:top w:val="single" w:sz="12" w:space="0" w:color="0033CC"/>
              <w:left w:val="single" w:sz="12" w:space="0" w:color="0033CC"/>
              <w:bottom w:val="single" w:sz="12" w:space="0" w:color="0033CC"/>
              <w:insideH w:val="single" w:sz="12" w:space="0" w:color="0033CC"/>
            </w:tcBorders>
            <w:shd w:fill="auto" w:val="clear"/>
            <w:vAlign w:val="center"/>
          </w:tcPr>
          <w:p>
            <w:pPr>
              <w:pStyle w:val="Normal"/>
              <w:spacing w:before="0" w:after="200"/>
              <w:jc w:val="center"/>
              <w:rPr>
                <w:rFonts w:ascii="Verdana" w:hAnsi="Verdana" w:cs="Arial"/>
                <w:color w:val="99CCFF"/>
                <w:highlight w:val="yellow"/>
                <w:lang w:val="de-DE"/>
              </w:rPr>
            </w:pPr>
            <w:r>
              <w:rPr/>
              <w:drawing>
                <wp:inline distT="0" distB="0" distL="0" distR="0">
                  <wp:extent cx="1438275" cy="1497330"/>
                  <wp:effectExtent l="0" t="0" r="0" b="0"/>
                  <wp:docPr id="1" name="Obraz 1" descr="EKOSC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EKOSCAN"/>
                          <pic:cNvPicPr>
                            <a:picLocks noChangeAspect="1" noChangeArrowheads="1"/>
                          </pic:cNvPicPr>
                        </pic:nvPicPr>
                        <pic:blipFill>
                          <a:blip r:embed="rId2"/>
                          <a:stretch>
                            <a:fillRect/>
                          </a:stretch>
                        </pic:blipFill>
                        <pic:spPr bwMode="auto">
                          <a:xfrm>
                            <a:off x="0" y="0"/>
                            <a:ext cx="1438275" cy="1497330"/>
                          </a:xfrm>
                          <a:prstGeom prst="rect">
                            <a:avLst/>
                          </a:prstGeom>
                        </pic:spPr>
                      </pic:pic>
                    </a:graphicData>
                  </a:graphic>
                </wp:inline>
              </w:drawing>
            </w:r>
          </w:p>
        </w:tc>
        <w:tc>
          <w:tcPr>
            <w:tcW w:w="6965" w:type="dxa"/>
            <w:tcBorders>
              <w:top w:val="single" w:sz="12" w:space="0" w:color="0033CC"/>
              <w:left w:val="single" w:sz="12" w:space="0" w:color="0033CC"/>
              <w:bottom w:val="single" w:sz="12" w:space="0" w:color="0033CC"/>
              <w:right w:val="single" w:sz="12" w:space="0" w:color="0033CC"/>
              <w:insideH w:val="single" w:sz="12" w:space="0" w:color="0033CC"/>
              <w:insideV w:val="single" w:sz="12" w:space="0" w:color="0033CC"/>
            </w:tcBorders>
            <w:shd w:fill="auto" w:val="clear"/>
            <w:vAlign w:val="center"/>
          </w:tcPr>
          <w:p>
            <w:pPr>
              <w:pStyle w:val="Normal"/>
              <w:spacing w:lineRule="auto" w:line="360" w:before="0" w:after="0"/>
              <w:ind w:left="-250" w:hanging="0"/>
              <w:jc w:val="center"/>
              <w:rPr>
                <w:rFonts w:ascii="Arial" w:hAnsi="Arial" w:cs="Arial"/>
                <w:b/>
                <w:b/>
              </w:rPr>
            </w:pPr>
            <w:r>
              <w:rPr>
                <w:rFonts w:cs="Arial" w:ascii="Arial" w:hAnsi="Arial"/>
                <w:b/>
              </w:rPr>
            </w:r>
          </w:p>
          <w:p>
            <w:pPr>
              <w:pStyle w:val="Normal"/>
              <w:spacing w:lineRule="auto" w:line="360" w:before="0" w:after="0"/>
              <w:ind w:left="-250" w:hanging="0"/>
              <w:jc w:val="center"/>
              <w:rPr/>
            </w:pPr>
            <w:r>
              <w:rPr>
                <w:rFonts w:cs="Arial" w:ascii="Arial" w:hAnsi="Arial"/>
                <w:b/>
              </w:rPr>
              <w:t xml:space="preserve">EKOSCAN INNOWACJA I ROZWÓJ </w:t>
            </w:r>
          </w:p>
          <w:p>
            <w:pPr>
              <w:pStyle w:val="Normal"/>
              <w:spacing w:lineRule="auto" w:line="360" w:before="0" w:after="0"/>
              <w:ind w:left="-250" w:hanging="0"/>
              <w:jc w:val="center"/>
              <w:rPr/>
            </w:pPr>
            <w:r>
              <w:rPr>
                <w:rFonts w:cs="Arial" w:ascii="Arial" w:hAnsi="Arial"/>
                <w:b/>
              </w:rPr>
              <w:t>SP. Z O.O.</w:t>
            </w:r>
          </w:p>
          <w:p>
            <w:pPr>
              <w:pStyle w:val="Normal"/>
              <w:spacing w:lineRule="auto" w:line="360" w:before="0" w:after="0"/>
              <w:ind w:left="-906" w:hanging="0"/>
              <w:jc w:val="center"/>
              <w:rPr/>
            </w:pPr>
            <w:r>
              <w:rPr>
                <w:rFonts w:cs="Arial" w:ascii="Arial" w:hAnsi="Arial"/>
                <w:b/>
              </w:rPr>
              <w:t xml:space="preserve">        </w:t>
            </w:r>
            <w:r>
              <w:rPr>
                <w:rFonts w:cs="Arial" w:ascii="Arial" w:hAnsi="Arial"/>
                <w:b/>
              </w:rPr>
              <w:t>ul. Błękitna 12</w:t>
            </w:r>
          </w:p>
          <w:p>
            <w:pPr>
              <w:pStyle w:val="Normal"/>
              <w:spacing w:lineRule="auto" w:line="360" w:before="0" w:after="0"/>
              <w:ind w:left="-906" w:hanging="0"/>
              <w:jc w:val="center"/>
              <w:rPr/>
            </w:pPr>
            <w:r>
              <w:rPr>
                <w:rFonts w:cs="Arial" w:ascii="Arial" w:hAnsi="Arial"/>
                <w:b/>
              </w:rPr>
              <w:t xml:space="preserve">     </w:t>
            </w:r>
            <w:r>
              <w:rPr>
                <w:rFonts w:cs="Arial" w:ascii="Arial" w:hAnsi="Arial"/>
                <w:b/>
              </w:rPr>
              <w:t>42-622 Świerklaniec</w:t>
            </w:r>
          </w:p>
          <w:p>
            <w:pPr>
              <w:pStyle w:val="Normal"/>
              <w:spacing w:lineRule="auto" w:line="360" w:before="0" w:after="0"/>
              <w:ind w:left="-906" w:hanging="0"/>
              <w:jc w:val="center"/>
              <w:rPr/>
            </w:pPr>
            <w:r>
              <w:rPr>
                <w:rFonts w:cs="Arial" w:ascii="Arial" w:hAnsi="Arial"/>
                <w:b/>
              </w:rPr>
              <w:t xml:space="preserve">    </w:t>
            </w:r>
            <w:r>
              <w:rPr>
                <w:rFonts w:cs="Arial" w:ascii="Arial" w:hAnsi="Arial"/>
                <w:b/>
              </w:rPr>
              <w:t>tel. 600 243 782</w:t>
            </w:r>
          </w:p>
          <w:p>
            <w:pPr>
              <w:pStyle w:val="Normal"/>
              <w:spacing w:lineRule="auto" w:line="360" w:before="0" w:after="0"/>
              <w:ind w:left="-906" w:hanging="0"/>
              <w:jc w:val="center"/>
              <w:rPr/>
            </w:pPr>
            <w:r>
              <w:rPr>
                <w:rFonts w:cs="Arial" w:ascii="Arial" w:hAnsi="Arial"/>
                <w:b/>
              </w:rPr>
              <w:t xml:space="preserve">      </w:t>
            </w:r>
            <w:r>
              <w:rPr>
                <w:rFonts w:cs="Arial" w:ascii="Arial" w:hAnsi="Arial"/>
                <w:b/>
              </w:rPr>
              <w:t>biuro@ekoscan.pl</w:t>
            </w:r>
          </w:p>
          <w:p>
            <w:pPr>
              <w:pStyle w:val="Normal"/>
              <w:spacing w:lineRule="auto" w:line="360" w:before="0" w:after="0"/>
              <w:ind w:left="-906" w:hanging="0"/>
              <w:jc w:val="center"/>
              <w:rPr/>
            </w:pPr>
            <w:r>
              <w:rPr>
                <w:rFonts w:cs="Arial" w:ascii="Arial" w:hAnsi="Arial"/>
                <w:b/>
              </w:rPr>
              <w:t xml:space="preserve">      </w:t>
            </w:r>
            <w:r>
              <w:rPr>
                <w:rFonts w:cs="Arial" w:ascii="Arial" w:hAnsi="Arial"/>
                <w:b/>
              </w:rPr>
              <w:t>www.azbest.ekoscan.pl</w:t>
            </w:r>
          </w:p>
        </w:tc>
      </w:tr>
      <w:tr>
        <w:trPr>
          <w:trHeight w:val="3429" w:hRule="atLeast"/>
        </w:trPr>
        <w:tc>
          <w:tcPr>
            <w:tcW w:w="3225" w:type="dxa"/>
            <w:tcBorders>
              <w:top w:val="single" w:sz="12" w:space="0" w:color="0033CC"/>
              <w:left w:val="single" w:sz="12" w:space="0" w:color="0033CC"/>
              <w:bottom w:val="single" w:sz="12" w:space="0" w:color="0033CC"/>
              <w:insideH w:val="single" w:sz="12" w:space="0" w:color="0033CC"/>
            </w:tcBorders>
            <w:shd w:fill="auto" w:val="clear"/>
          </w:tcPr>
          <w:p>
            <w:pPr>
              <w:pStyle w:val="Normal"/>
              <w:spacing w:before="240" w:after="200"/>
              <w:rPr>
                <w:rFonts w:ascii="Arial" w:hAnsi="Arial" w:cs="Arial"/>
                <w:sz w:val="24"/>
                <w:szCs w:val="24"/>
              </w:rPr>
            </w:pPr>
            <w:r>
              <w:rPr>
                <w:rFonts w:cs="Arial" w:ascii="Arial" w:hAnsi="Arial"/>
                <w:sz w:val="24"/>
                <w:szCs w:val="24"/>
              </w:rPr>
              <w:t>Inwestor:</w:t>
            </w:r>
          </w:p>
          <w:p>
            <w:pPr>
              <w:pStyle w:val="Normal"/>
              <w:spacing w:before="0" w:after="200"/>
              <w:jc w:val="center"/>
              <w:rPr>
                <w:rFonts w:ascii="Arial" w:hAnsi="Arial" w:cs="Arial"/>
                <w:b/>
                <w:b/>
                <w:bCs/>
                <w:sz w:val="28"/>
                <w:szCs w:val="28"/>
              </w:rPr>
            </w:pPr>
            <w:r>
              <w:rPr>
                <w:b/>
                <w:bCs/>
                <w:sz w:val="28"/>
                <w:szCs w:val="28"/>
              </w:rPr>
              <w:t xml:space="preserve">Urząd Miasta i Gminy </w:t>
              <w:br/>
              <w:t>w Mroczy</w:t>
              <w:br/>
              <w:t>ul. Pl. 1 Maja 20</w:t>
              <w:br/>
              <w:t>89 - 115 Mrocza</w:t>
            </w:r>
          </w:p>
        </w:tc>
        <w:tc>
          <w:tcPr>
            <w:tcW w:w="6965" w:type="dxa"/>
            <w:tcBorders>
              <w:top w:val="single" w:sz="12" w:space="0" w:color="0033CC"/>
              <w:left w:val="single" w:sz="12" w:space="0" w:color="0033CC"/>
              <w:bottom w:val="single" w:sz="12" w:space="0" w:color="0033CC"/>
              <w:right w:val="single" w:sz="12" w:space="0" w:color="0033CC"/>
              <w:insideH w:val="single" w:sz="12" w:space="0" w:color="0033CC"/>
              <w:insideV w:val="single" w:sz="12" w:space="0" w:color="0033CC"/>
            </w:tcBorders>
            <w:shd w:fill="auto" w:val="clear"/>
            <w:vAlign w:val="center"/>
          </w:tcPr>
          <w:p>
            <w:pPr>
              <w:pStyle w:val="Normal"/>
              <w:spacing w:before="0" w:after="200"/>
              <w:jc w:val="center"/>
              <w:rPr/>
            </w:pPr>
            <w:r>
              <w:rPr/>
              <w:drawing>
                <wp:inline distT="0" distB="0" distL="0" distR="0">
                  <wp:extent cx="4286250" cy="1581150"/>
                  <wp:effectExtent l="0" t="0" r="0" b="0"/>
                  <wp:docPr id="2" name="Obraz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5" descr=""/>
                          <pic:cNvPicPr>
                            <a:picLocks noChangeAspect="1" noChangeArrowheads="1"/>
                          </pic:cNvPicPr>
                        </pic:nvPicPr>
                        <pic:blipFill>
                          <a:blip r:embed="rId3"/>
                          <a:stretch>
                            <a:fillRect/>
                          </a:stretch>
                        </pic:blipFill>
                        <pic:spPr bwMode="auto">
                          <a:xfrm>
                            <a:off x="0" y="0"/>
                            <a:ext cx="4286250" cy="1581150"/>
                          </a:xfrm>
                          <a:prstGeom prst="rect">
                            <a:avLst/>
                          </a:prstGeom>
                        </pic:spPr>
                      </pic:pic>
                    </a:graphicData>
                  </a:graphic>
                </wp:inline>
              </w:drawing>
            </w:r>
          </w:p>
        </w:tc>
      </w:tr>
      <w:tr>
        <w:trPr>
          <w:trHeight w:val="1525" w:hRule="atLeast"/>
        </w:trPr>
        <w:tc>
          <w:tcPr>
            <w:tcW w:w="10190" w:type="dxa"/>
            <w:gridSpan w:val="2"/>
            <w:tcBorders>
              <w:top w:val="single" w:sz="12" w:space="0" w:color="0033CC"/>
              <w:left w:val="single" w:sz="12" w:space="0" w:color="0033CC"/>
              <w:bottom w:val="single" w:sz="12" w:space="0" w:color="0033CC"/>
              <w:right w:val="single" w:sz="12" w:space="0" w:color="0033CC"/>
              <w:insideH w:val="single" w:sz="12" w:space="0" w:color="0033CC"/>
              <w:insideV w:val="single" w:sz="12" w:space="0" w:color="0033CC"/>
            </w:tcBorders>
            <w:shd w:color="auto" w:fill="0070C0" w:val="clear"/>
          </w:tcPr>
          <w:p>
            <w:pPr>
              <w:pStyle w:val="Normal"/>
              <w:rPr/>
            </w:pPr>
            <w:r>
              <w:rPr>
                <w:rFonts w:cs="Arial" w:ascii="Arial" w:hAnsi="Arial"/>
                <w:b/>
                <w:color w:val="FFFFFF"/>
                <w:sz w:val="24"/>
                <w:szCs w:val="24"/>
              </w:rPr>
              <w:t>Temat opracowania:</w:t>
            </w:r>
          </w:p>
          <w:p>
            <w:pPr>
              <w:pStyle w:val="Normal"/>
              <w:spacing w:lineRule="auto" w:line="360" w:before="0" w:after="0"/>
              <w:jc w:val="center"/>
              <w:rPr/>
            </w:pPr>
            <w:r>
              <w:rPr>
                <w:rFonts w:cs="Arial" w:ascii="Arial" w:hAnsi="Arial"/>
                <w:b/>
                <w:color w:val="FFFFFF" w:themeColor="background1"/>
                <w:sz w:val="40"/>
                <w:szCs w:val="40"/>
              </w:rPr>
              <w:t>Program usuwania azbestu i wyrobów zawierających azbest dla Miasta i Gminy Mrocza</w:t>
            </w:r>
          </w:p>
        </w:tc>
      </w:tr>
      <w:tr>
        <w:trPr>
          <w:trHeight w:val="2669" w:hRule="atLeast"/>
          <w:cantSplit w:val="true"/>
        </w:trPr>
        <w:tc>
          <w:tcPr>
            <w:tcW w:w="3225" w:type="dxa"/>
            <w:tcBorders>
              <w:top w:val="single" w:sz="12" w:space="0" w:color="0033CC"/>
              <w:left w:val="single" w:sz="12" w:space="0" w:color="0033CC"/>
              <w:bottom w:val="single" w:sz="12" w:space="0" w:color="0033CC"/>
              <w:insideH w:val="single" w:sz="12" w:space="0" w:color="0033CC"/>
            </w:tcBorders>
            <w:shd w:fill="auto" w:val="clear"/>
            <w:vAlign w:val="center"/>
          </w:tcPr>
          <w:p>
            <w:pPr>
              <w:pStyle w:val="Normal"/>
              <w:rPr>
                <w:rFonts w:ascii="Arial" w:hAnsi="Arial" w:cs="Arial"/>
                <w:b/>
                <w:b/>
              </w:rPr>
            </w:pPr>
            <w:r>
              <w:rPr>
                <w:rFonts w:cs="Arial" w:ascii="Arial" w:hAnsi="Arial"/>
                <w:b/>
              </w:rPr>
            </w:r>
          </w:p>
          <w:p>
            <w:pPr>
              <w:pStyle w:val="Normal"/>
              <w:rPr>
                <w:rFonts w:ascii="Arial" w:hAnsi="Arial" w:cs="Arial"/>
                <w:b/>
                <w:b/>
              </w:rPr>
            </w:pPr>
            <w:r>
              <w:rPr>
                <w:rFonts w:cs="Arial" w:ascii="Arial" w:hAnsi="Arial"/>
                <w:b/>
              </w:rPr>
            </w:r>
          </w:p>
          <w:p>
            <w:pPr>
              <w:pStyle w:val="Normal"/>
              <w:rPr>
                <w:rFonts w:ascii="Arial" w:hAnsi="Arial" w:cs="Arial"/>
                <w:b/>
                <w:b/>
              </w:rPr>
            </w:pPr>
            <w:r>
              <w:rPr>
                <w:rFonts w:cs="Arial" w:ascii="Arial" w:hAnsi="Arial"/>
                <w:b/>
              </w:rPr>
              <w:t>Zespół autorski:</w:t>
            </w:r>
          </w:p>
          <w:p>
            <w:pPr>
              <w:pStyle w:val="Normal"/>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spacing w:before="0" w:after="200"/>
              <w:rPr>
                <w:rFonts w:ascii="Arial" w:hAnsi="Arial" w:cs="Arial"/>
              </w:rPr>
            </w:pPr>
            <w:r>
              <w:rPr>
                <w:rFonts w:cs="Arial" w:ascii="Arial" w:hAnsi="Arial"/>
              </w:rPr>
            </w:r>
          </w:p>
        </w:tc>
        <w:tc>
          <w:tcPr>
            <w:tcW w:w="6965" w:type="dxa"/>
            <w:tcBorders>
              <w:top w:val="single" w:sz="12" w:space="0" w:color="0033CC"/>
              <w:left w:val="single" w:sz="12" w:space="0" w:color="0033CC"/>
              <w:bottom w:val="single" w:sz="12" w:space="0" w:color="0033CC"/>
              <w:right w:val="single" w:sz="12" w:space="0" w:color="0033CC"/>
              <w:insideH w:val="single" w:sz="12" w:space="0" w:color="0033CC"/>
              <w:insideV w:val="single" w:sz="12" w:space="0" w:color="0033CC"/>
            </w:tcBorders>
            <w:shd w:fill="auto" w:val="clear"/>
            <w:vAlign w:val="center"/>
          </w:tcPr>
          <w:p>
            <w:pPr>
              <w:pStyle w:val="Normal"/>
              <w:spacing w:lineRule="auto" w:line="360"/>
              <w:rPr>
                <w:rFonts w:ascii="Arial" w:hAnsi="Arial" w:eastAsia="Calibri" w:cs="Arial"/>
                <w:b/>
                <w:b/>
                <w:bCs/>
                <w:sz w:val="16"/>
                <w:szCs w:val="16"/>
              </w:rPr>
            </w:pPr>
            <w:r>
              <w:rPr>
                <w:rFonts w:eastAsia="Calibri" w:cs="Arial" w:ascii="Arial" w:hAnsi="Arial"/>
                <w:b/>
                <w:bCs/>
                <w:sz w:val="16"/>
                <w:szCs w:val="16"/>
              </w:rPr>
            </w:r>
          </w:p>
          <w:p>
            <w:pPr>
              <w:pStyle w:val="Normal"/>
              <w:spacing w:lineRule="auto" w:line="360"/>
              <w:rPr/>
            </w:pPr>
            <w:r>
              <w:rPr>
                <w:rFonts w:eastAsia="Calibri" w:cs="Arial" w:ascii="Arial" w:hAnsi="Arial"/>
                <w:b/>
                <w:bCs/>
                <w:sz w:val="24"/>
              </w:rPr>
              <w:t>mgr inż. Łukasz Bystrzanowski</w:t>
            </w:r>
          </w:p>
          <w:p>
            <w:pPr>
              <w:pStyle w:val="Normal"/>
              <w:spacing w:lineRule="auto" w:line="360"/>
              <w:rPr/>
            </w:pPr>
            <w:r>
              <w:rPr>
                <w:rFonts w:eastAsia="Calibri" w:cs="Arial" w:ascii="Arial" w:hAnsi="Arial"/>
                <w:b/>
                <w:bCs/>
                <w:sz w:val="24"/>
              </w:rPr>
              <w:t xml:space="preserve">inż. Katarzyna Kubiczek </w:t>
            </w:r>
          </w:p>
          <w:p>
            <w:pPr>
              <w:pStyle w:val="Normal"/>
              <w:spacing w:lineRule="auto" w:line="360" w:before="0" w:after="200"/>
              <w:rPr/>
            </w:pPr>
            <w:r>
              <w:rPr/>
            </w:r>
            <w:bookmarkStart w:id="0" w:name="_Hlk20296535"/>
            <w:bookmarkStart w:id="1" w:name="_Hlk20296535"/>
            <w:bookmarkEnd w:id="1"/>
          </w:p>
        </w:tc>
      </w:tr>
    </w:tbl>
    <w:p>
      <w:pPr>
        <w:pStyle w:val="Normal"/>
        <w:jc w:val="center"/>
        <w:rPr>
          <w:b/>
          <w:b/>
        </w:rPr>
      </w:pPr>
      <w:r>
        <w:rPr>
          <w:b/>
        </w:rPr>
      </w:r>
    </w:p>
    <w:p>
      <w:pPr>
        <w:pStyle w:val="Normal"/>
        <w:pBdr>
          <w:top w:val="single" w:sz="12" w:space="1" w:color="0033CC"/>
          <w:left w:val="single" w:sz="12" w:space="4" w:color="0033CC"/>
          <w:bottom w:val="single" w:sz="12" w:space="1" w:color="0033CC"/>
          <w:right w:val="single" w:sz="12" w:space="31" w:color="0033CC"/>
        </w:pBdr>
        <w:ind w:left="142" w:hanging="0"/>
        <w:jc w:val="center"/>
        <w:rPr>
          <w:rFonts w:ascii="Arial" w:hAnsi="Arial" w:cs="Arial"/>
          <w:b/>
          <w:b/>
          <w:sz w:val="28"/>
          <w:szCs w:val="28"/>
        </w:rPr>
      </w:pPr>
      <w:r>
        <w:rPr>
          <w:rFonts w:cs="Arial" w:ascii="Arial" w:hAnsi="Arial"/>
          <w:b/>
          <w:sz w:val="28"/>
          <w:szCs w:val="28"/>
        </w:rPr>
        <w:t xml:space="preserve">Opracowano: 2019 r. </w:t>
      </w:r>
    </w:p>
    <w:p>
      <w:pPr>
        <w:pStyle w:val="Normal"/>
        <w:rPr>
          <w:b/>
          <w:b/>
        </w:rPr>
      </w:pPr>
      <w:r>
        <w:rPr>
          <w:b/>
        </w:rPr>
      </w:r>
    </w:p>
    <w:p>
      <w:pPr>
        <w:pStyle w:val="Normal"/>
        <w:rPr>
          <w:b/>
          <w:b/>
        </w:rPr>
      </w:pPr>
      <w:r>
        <w:rPr>
          <w:b/>
        </w:rPr>
      </w:r>
    </w:p>
    <w:p>
      <w:pPr>
        <w:pStyle w:val="TOCHeading"/>
        <w:tabs>
          <w:tab w:val="center" w:pos="4748" w:leader="none"/>
        </w:tabs>
        <w:jc w:val="center"/>
        <w:rPr/>
      </w:pPr>
      <w:r>
        <w:rPr>
          <w:rFonts w:cs="Arial" w:ascii="Arial" w:hAnsi="Arial"/>
          <w:color w:val="auto"/>
        </w:rPr>
        <w:t>Spis treści</w:t>
      </w:r>
    </w:p>
    <w:p>
      <w:pPr>
        <w:pStyle w:val="Spistreci1"/>
        <w:rPr>
          <w:rFonts w:ascii="Calibri" w:hAnsi="Calibri" w:eastAsia="" w:cs="" w:asciiTheme="minorHAnsi" w:cstheme="minorBidi" w:eastAsiaTheme="minorEastAsia" w:hAnsiTheme="minorHAnsi"/>
        </w:rPr>
      </w:pPr>
      <w:r>
        <w:fldChar w:fldCharType="begin"/>
      </w:r>
      <w:r>
        <w:rPr>
          <w:webHidden/>
          <w:rStyle w:val="Czeindeksu"/>
          <w:vanish w:val="false"/>
        </w:rPr>
        <w:instrText> TOC \z \o "1-3" \u \h</w:instrText>
      </w:r>
      <w:r>
        <w:rPr>
          <w:webHidden/>
          <w:rStyle w:val="Czeindeksu"/>
          <w:vanish w:val="false"/>
        </w:rPr>
        <w:fldChar w:fldCharType="separate"/>
      </w:r>
      <w:hyperlink w:anchor="_Toc20296854">
        <w:r>
          <w:rPr>
            <w:webHidden/>
            <w:rStyle w:val="Czeindeksu"/>
            <w:vanish w:val="false"/>
          </w:rPr>
          <w:t>1.</w:t>
        </w:r>
        <w:r>
          <w:rPr>
            <w:rStyle w:val="Czeindeksu"/>
            <w:rFonts w:eastAsia="" w:cs="" w:ascii="Calibri" w:hAnsi="Calibri" w:asciiTheme="minorHAnsi" w:cstheme="minorBidi" w:eastAsiaTheme="minorEastAsia" w:hAnsiTheme="minorHAnsi"/>
          </w:rPr>
          <w:tab/>
        </w:r>
        <w:r>
          <w:rPr>
            <w:rStyle w:val="Czeindeksu"/>
          </w:rPr>
          <w:t>WSTĘP</w:t>
        </w:r>
        <w:r>
          <w:rPr>
            <w:webHidden/>
          </w:rPr>
          <w:fldChar w:fldCharType="begin"/>
        </w:r>
        <w:r>
          <w:rPr>
            <w:webHidden/>
          </w:rPr>
          <w:instrText>PAGEREF _Toc20296854 \h</w:instrText>
        </w:r>
        <w:r>
          <w:rPr>
            <w:webHidden/>
          </w:rPr>
          <w:fldChar w:fldCharType="separate"/>
        </w:r>
        <w:r>
          <w:rPr>
            <w:rStyle w:val="Czeindeksu"/>
            <w:vanish w:val="false"/>
          </w:rPr>
          <w:tab/>
          <w:t>5</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55">
        <w:r>
          <w:rPr>
            <w:webHidden/>
          </w:rPr>
          <w:fldChar w:fldCharType="begin"/>
        </w:r>
        <w:r>
          <w:rPr>
            <w:webHidden/>
          </w:rPr>
          <w:instrText>PAGEREF _Toc20296855 \h</w:instrText>
        </w:r>
        <w:r>
          <w:rPr>
            <w:webHidden/>
          </w:rPr>
          <w:fldChar w:fldCharType="separate"/>
        </w:r>
        <w:r>
          <w:rPr>
            <w:webHidden/>
            <w:rStyle w:val="Czeindeksu"/>
            <w:vanish w:val="false"/>
          </w:rPr>
          <w:t>1.1. Wprowadzenie</w:t>
          <w:tab/>
          <w:t>5</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56">
        <w:r>
          <w:rPr>
            <w:webHidden/>
            <w:rStyle w:val="Czeindeksu"/>
            <w:vanish w:val="false"/>
          </w:rPr>
          <w:t>1.2.</w:t>
        </w:r>
        <w:r>
          <w:rPr>
            <w:rStyle w:val="Czeindeksu"/>
            <w:rFonts w:eastAsia="" w:cs="" w:ascii="Calibri" w:hAnsi="Calibri" w:asciiTheme="minorHAnsi" w:cstheme="minorBidi" w:eastAsiaTheme="minorEastAsia" w:hAnsiTheme="minorHAnsi"/>
          </w:rPr>
          <w:tab/>
        </w:r>
        <w:r>
          <w:rPr>
            <w:rStyle w:val="Czeindeksu"/>
          </w:rPr>
          <w:t>Ogólna charakterystyka Gminy Mrocza</w:t>
        </w:r>
        <w:r>
          <w:rPr>
            <w:webHidden/>
          </w:rPr>
          <w:fldChar w:fldCharType="begin"/>
        </w:r>
        <w:r>
          <w:rPr>
            <w:webHidden/>
          </w:rPr>
          <w:instrText>PAGEREF _Toc20296856 \h</w:instrText>
        </w:r>
        <w:r>
          <w:rPr>
            <w:webHidden/>
          </w:rPr>
          <w:fldChar w:fldCharType="separate"/>
        </w:r>
        <w:r>
          <w:rPr>
            <w:rStyle w:val="Czeindeksu"/>
            <w:vanish w:val="false"/>
          </w:rPr>
          <w:tab/>
          <w:t>8</w:t>
        </w:r>
        <w:r>
          <w:rPr>
            <w:webHidden/>
          </w:rPr>
          <w:fldChar w:fldCharType="end"/>
        </w:r>
      </w:hyperlink>
    </w:p>
    <w:p>
      <w:pPr>
        <w:pStyle w:val="Spistreci1"/>
        <w:rPr>
          <w:rFonts w:ascii="Calibri" w:hAnsi="Calibri" w:eastAsia="" w:cs="" w:asciiTheme="minorHAnsi" w:cstheme="minorBidi" w:eastAsiaTheme="minorEastAsia" w:hAnsiTheme="minorHAnsi"/>
        </w:rPr>
      </w:pPr>
      <w:hyperlink w:anchor="_Toc20296857">
        <w:r>
          <w:rPr>
            <w:webHidden/>
            <w:rStyle w:val="Czeindeksu"/>
            <w:vanish w:val="false"/>
          </w:rPr>
          <w:t>1.3.</w:t>
        </w:r>
        <w:r>
          <w:rPr>
            <w:rStyle w:val="Czeindeksu"/>
            <w:rFonts w:eastAsia="" w:cs="" w:ascii="Calibri" w:hAnsi="Calibri" w:asciiTheme="minorHAnsi" w:cstheme="minorBidi" w:eastAsiaTheme="minorEastAsia" w:hAnsiTheme="minorHAnsi"/>
          </w:rPr>
          <w:tab/>
        </w:r>
        <w:r>
          <w:rPr>
            <w:rStyle w:val="Czeindeksu"/>
          </w:rPr>
          <w:t>Cele i zadania „Programu..”</w:t>
        </w:r>
        <w:r>
          <w:rPr>
            <w:webHidden/>
          </w:rPr>
          <w:fldChar w:fldCharType="begin"/>
        </w:r>
        <w:r>
          <w:rPr>
            <w:webHidden/>
          </w:rPr>
          <w:instrText>PAGEREF _Toc20296857 \h</w:instrText>
        </w:r>
        <w:r>
          <w:rPr>
            <w:webHidden/>
          </w:rPr>
          <w:fldChar w:fldCharType="separate"/>
        </w:r>
        <w:r>
          <w:rPr>
            <w:rStyle w:val="Czeindeksu"/>
            <w:vanish w:val="false"/>
          </w:rPr>
          <w:tab/>
          <w:t>9</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58">
        <w:r>
          <w:rPr>
            <w:webHidden/>
          </w:rPr>
          <w:fldChar w:fldCharType="begin"/>
        </w:r>
        <w:r>
          <w:rPr>
            <w:webHidden/>
          </w:rPr>
          <w:instrText>PAGEREF _Toc20296858 \h</w:instrText>
        </w:r>
        <w:r>
          <w:rPr>
            <w:webHidden/>
          </w:rPr>
          <w:fldChar w:fldCharType="separate"/>
        </w:r>
        <w:r>
          <w:rPr>
            <w:webHidden/>
            <w:rStyle w:val="Czeindeksu"/>
            <w:vanish w:val="false"/>
          </w:rPr>
          <w:t>1.4. Opis zawartości dokumentu pt. „Program usuwania azbestu dla Miasta i Gminy Mrocza”</w:t>
          <w:tab/>
          <w:t>11</w:t>
        </w:r>
        <w:r>
          <w:rPr>
            <w:webHidden/>
          </w:rPr>
          <w:fldChar w:fldCharType="end"/>
        </w:r>
      </w:hyperlink>
    </w:p>
    <w:p>
      <w:pPr>
        <w:pStyle w:val="Spistreci1"/>
        <w:rPr>
          <w:rFonts w:ascii="Calibri" w:hAnsi="Calibri" w:eastAsia="" w:cs="" w:asciiTheme="minorHAnsi" w:cstheme="minorBidi" w:eastAsiaTheme="minorEastAsia" w:hAnsiTheme="minorHAnsi"/>
        </w:rPr>
      </w:pPr>
      <w:hyperlink w:anchor="_Toc20296859">
        <w:r>
          <w:rPr>
            <w:webHidden/>
            <w:rStyle w:val="Czeindeksu"/>
            <w:vanish w:val="false"/>
          </w:rPr>
          <w:t>2.</w:t>
        </w:r>
        <w:r>
          <w:rPr>
            <w:rStyle w:val="Czeindeksu"/>
            <w:rFonts w:eastAsia="" w:cs="" w:ascii="Calibri" w:hAnsi="Calibri" w:asciiTheme="minorHAnsi" w:cstheme="minorBidi" w:eastAsiaTheme="minorEastAsia" w:hAnsiTheme="minorHAnsi"/>
          </w:rPr>
          <w:tab/>
        </w:r>
        <w:r>
          <w:rPr>
            <w:rStyle w:val="Czeindeksu"/>
          </w:rPr>
          <w:t>CHARAKTERYSTYKA WYROBÓW ZAWIERAJĄCYCH AZBEST I ODDZIAŁYWANIE AZBESTU NA ZDROWIE CZŁOWIEKA</w:t>
        </w:r>
        <w:r>
          <w:rPr>
            <w:webHidden/>
          </w:rPr>
          <w:fldChar w:fldCharType="begin"/>
        </w:r>
        <w:r>
          <w:rPr>
            <w:webHidden/>
          </w:rPr>
          <w:instrText>PAGEREF _Toc20296859 \h</w:instrText>
        </w:r>
        <w:r>
          <w:rPr>
            <w:webHidden/>
          </w:rPr>
          <w:fldChar w:fldCharType="separate"/>
        </w:r>
        <w:r>
          <w:rPr>
            <w:rStyle w:val="Czeindeksu"/>
            <w:vanish w:val="false"/>
          </w:rPr>
          <w:tab/>
          <w:t>12</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60">
        <w:r>
          <w:rPr>
            <w:webHidden/>
          </w:rPr>
          <w:fldChar w:fldCharType="begin"/>
        </w:r>
        <w:r>
          <w:rPr>
            <w:webHidden/>
          </w:rPr>
          <w:instrText>PAGEREF _Toc20296860 \h</w:instrText>
        </w:r>
        <w:r>
          <w:rPr>
            <w:webHidden/>
          </w:rPr>
          <w:fldChar w:fldCharType="separate"/>
        </w:r>
        <w:r>
          <w:rPr>
            <w:webHidden/>
            <w:rStyle w:val="Czeindeksu"/>
            <w:vanish w:val="false"/>
          </w:rPr>
          <w:t>2.1. Występowanie i zastosowanie azbestu</w:t>
          <w:tab/>
          <w:t>12</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61">
        <w:r>
          <w:rPr>
            <w:webHidden/>
          </w:rPr>
          <w:fldChar w:fldCharType="begin"/>
        </w:r>
        <w:r>
          <w:rPr>
            <w:webHidden/>
          </w:rPr>
          <w:instrText>PAGEREF _Toc20296861 \h</w:instrText>
        </w:r>
        <w:r>
          <w:rPr>
            <w:webHidden/>
          </w:rPr>
          <w:fldChar w:fldCharType="separate"/>
        </w:r>
        <w:r>
          <w:rPr>
            <w:webHidden/>
            <w:rStyle w:val="Czeindeksu"/>
            <w:vanish w:val="false"/>
          </w:rPr>
          <w:t>2.2. Wpływ azbestu na organizm ludzki</w:t>
          <w:tab/>
          <w:t>15</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62">
        <w:r>
          <w:rPr>
            <w:webHidden/>
            <w:rStyle w:val="Czeindeksu"/>
            <w:rFonts w:eastAsia="Calibri"/>
            <w:vanish w:val="false"/>
          </w:rPr>
          <w:t>2.3. Informowanie o ryzyku związanym z narażeniem na azbest występujący w środowisku</w:t>
        </w:r>
        <w:r>
          <w:rPr>
            <w:webHidden/>
          </w:rPr>
          <w:fldChar w:fldCharType="begin"/>
        </w:r>
        <w:r>
          <w:rPr>
            <w:webHidden/>
          </w:rPr>
          <w:instrText>PAGEREF _Toc20296862 \h</w:instrText>
        </w:r>
        <w:r>
          <w:rPr>
            <w:webHidden/>
          </w:rPr>
          <w:fldChar w:fldCharType="separate"/>
        </w:r>
        <w:r>
          <w:rPr>
            <w:rStyle w:val="Czeindeksu"/>
            <w:vanish w:val="false"/>
          </w:rPr>
          <w:tab/>
          <w:t>16</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63">
        <w:r>
          <w:rPr>
            <w:webHidden/>
          </w:rPr>
          <w:fldChar w:fldCharType="begin"/>
        </w:r>
        <w:r>
          <w:rPr>
            <w:webHidden/>
          </w:rPr>
          <w:instrText>PAGEREF _Toc20296863 \h</w:instrText>
        </w:r>
        <w:r>
          <w:rPr>
            <w:webHidden/>
          </w:rPr>
          <w:fldChar w:fldCharType="separate"/>
        </w:r>
        <w:r>
          <w:rPr>
            <w:webHidden/>
            <w:rStyle w:val="Czeindeksu"/>
            <w:vanish w:val="false"/>
          </w:rPr>
          <w:t>2.3.1.Ograniczenie negatywnych skutków oddziaływania azbestu</w:t>
          <w:tab/>
          <w:t>17</w:t>
        </w:r>
        <w:r>
          <w:rPr>
            <w:webHidden/>
          </w:rPr>
          <w:fldChar w:fldCharType="end"/>
        </w:r>
      </w:hyperlink>
    </w:p>
    <w:p>
      <w:pPr>
        <w:pStyle w:val="Spistreci1"/>
        <w:rPr>
          <w:rFonts w:ascii="Calibri" w:hAnsi="Calibri" w:eastAsia="" w:cs="" w:asciiTheme="minorHAnsi" w:cstheme="minorBidi" w:eastAsiaTheme="minorEastAsia" w:hAnsiTheme="minorHAnsi"/>
        </w:rPr>
      </w:pPr>
      <w:hyperlink w:anchor="_Toc20296864">
        <w:r>
          <w:rPr>
            <w:webHidden/>
          </w:rPr>
          <w:fldChar w:fldCharType="begin"/>
        </w:r>
        <w:r>
          <w:rPr>
            <w:webHidden/>
          </w:rPr>
          <w:instrText>PAGEREF _Toc20296864 \h</w:instrText>
        </w:r>
        <w:r>
          <w:rPr>
            <w:webHidden/>
          </w:rPr>
          <w:fldChar w:fldCharType="separate"/>
        </w:r>
        <w:r>
          <w:rPr>
            <w:webHidden/>
            <w:rStyle w:val="Czeindeksu"/>
            <w:vanish w:val="false"/>
          </w:rPr>
          <w:t>3. STAN PRAWNY W ZAKRESIE UŻYTKOWANIA I USUWANIA WYROBÓW I ODPADÓW ZAWIERAJĄCYCH AZBEST</w:t>
          <w:tab/>
          <w:t>19</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65">
        <w:r>
          <w:rPr>
            <w:webHidden/>
          </w:rPr>
          <w:fldChar w:fldCharType="begin"/>
        </w:r>
        <w:r>
          <w:rPr>
            <w:webHidden/>
          </w:rPr>
          <w:instrText>PAGEREF _Toc20296865 \h</w:instrText>
        </w:r>
        <w:r>
          <w:rPr>
            <w:webHidden/>
          </w:rPr>
          <w:fldChar w:fldCharType="separate"/>
        </w:r>
        <w:r>
          <w:rPr>
            <w:webHidden/>
            <w:rStyle w:val="Czeindeksu"/>
            <w:vanish w:val="false"/>
          </w:rPr>
          <w:t>3.1. Regulacje ustawowe</w:t>
          <w:tab/>
          <w:t>19</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66">
        <w:r>
          <w:rPr>
            <w:webHidden/>
          </w:rPr>
          <w:fldChar w:fldCharType="begin"/>
        </w:r>
        <w:r>
          <w:rPr>
            <w:webHidden/>
          </w:rPr>
          <w:instrText>PAGEREF _Toc20296866 \h</w:instrText>
        </w:r>
        <w:r>
          <w:rPr>
            <w:webHidden/>
          </w:rPr>
          <w:fldChar w:fldCharType="separate"/>
        </w:r>
        <w:r>
          <w:rPr>
            <w:webHidden/>
            <w:rStyle w:val="Czeindeksu"/>
            <w:vanish w:val="false"/>
          </w:rPr>
          <w:t>3.2. Akty wykonawcze</w:t>
          <w:tab/>
          <w:t>20</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67">
        <w:r>
          <w:rPr>
            <w:webHidden/>
          </w:rPr>
          <w:fldChar w:fldCharType="begin"/>
        </w:r>
        <w:r>
          <w:rPr>
            <w:webHidden/>
          </w:rPr>
          <w:instrText>PAGEREF _Toc20296867 \h</w:instrText>
        </w:r>
        <w:r>
          <w:rPr>
            <w:webHidden/>
          </w:rPr>
          <w:fldChar w:fldCharType="separate"/>
        </w:r>
        <w:r>
          <w:rPr>
            <w:webHidden/>
            <w:rStyle w:val="Czeindeksu"/>
            <w:vanish w:val="false"/>
          </w:rPr>
          <w:t>3.3. Zasady postępowania z wyrobami zawierającymi azbest w aspekcie obowiązującego prawa</w:t>
          <w:tab/>
          <w:t>25</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68">
        <w:r>
          <w:rPr>
            <w:webHidden/>
          </w:rPr>
          <w:fldChar w:fldCharType="begin"/>
        </w:r>
        <w:r>
          <w:rPr>
            <w:webHidden/>
          </w:rPr>
          <w:instrText>PAGEREF _Toc20296868 \h</w:instrText>
        </w:r>
        <w:r>
          <w:rPr>
            <w:webHidden/>
          </w:rPr>
          <w:fldChar w:fldCharType="separate"/>
        </w:r>
        <w:r>
          <w:rPr>
            <w:webHidden/>
            <w:rStyle w:val="Czeindeksu"/>
            <w:vanish w:val="false"/>
          </w:rPr>
          <w:t>3.4. Obowiązki właścicieli i zarządzających obiektami, instalacjami i urządzeniami zawierającymi azbest</w:t>
          <w:tab/>
          <w:t>26</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69">
        <w:r>
          <w:rPr>
            <w:webHidden/>
          </w:rPr>
          <w:fldChar w:fldCharType="begin"/>
        </w:r>
        <w:r>
          <w:rPr>
            <w:webHidden/>
          </w:rPr>
          <w:instrText>PAGEREF _Toc20296869 \h</w:instrText>
        </w:r>
        <w:r>
          <w:rPr>
            <w:webHidden/>
          </w:rPr>
          <w:fldChar w:fldCharType="separate"/>
        </w:r>
        <w:r>
          <w:rPr>
            <w:webHidden/>
            <w:rStyle w:val="Czeindeksu"/>
            <w:vanish w:val="false"/>
          </w:rPr>
          <w:t>3.5. Obowiązki wykonawcy prac, polegających na usuwaniu wyrobów zawierających azbest</w:t>
          <w:tab/>
          <w:t>29</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70">
        <w:r>
          <w:rPr>
            <w:webHidden/>
          </w:rPr>
          <w:fldChar w:fldCharType="begin"/>
        </w:r>
        <w:r>
          <w:rPr>
            <w:webHidden/>
          </w:rPr>
          <w:instrText>PAGEREF _Toc20296870 \h</w:instrText>
        </w:r>
        <w:r>
          <w:rPr>
            <w:webHidden/>
          </w:rPr>
          <w:fldChar w:fldCharType="separate"/>
        </w:r>
        <w:r>
          <w:rPr>
            <w:webHidden/>
            <w:rStyle w:val="Czeindeksu"/>
            <w:vanish w:val="false"/>
          </w:rPr>
          <w:t>3.6. Zasady postępowania przy transporcie odpadów zawierających azbest</w:t>
          <w:tab/>
          <w:t>41</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71">
        <w:r>
          <w:rPr>
            <w:webHidden/>
          </w:rPr>
          <w:fldChar w:fldCharType="begin"/>
        </w:r>
        <w:r>
          <w:rPr>
            <w:webHidden/>
          </w:rPr>
          <w:instrText>PAGEREF _Toc20296871 \h</w:instrText>
        </w:r>
        <w:r>
          <w:rPr>
            <w:webHidden/>
          </w:rPr>
          <w:fldChar w:fldCharType="separate"/>
        </w:r>
        <w:r>
          <w:rPr>
            <w:webHidden/>
            <w:rStyle w:val="Czeindeksu"/>
            <w:vanish w:val="false"/>
          </w:rPr>
          <w:t>3.7. Zasady składowania odpadów zawierających azbest</w:t>
          <w:tab/>
          <w:t>45</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72">
        <w:r>
          <w:rPr>
            <w:webHidden/>
          </w:rPr>
          <w:fldChar w:fldCharType="begin"/>
        </w:r>
        <w:r>
          <w:rPr>
            <w:webHidden/>
          </w:rPr>
          <w:instrText>PAGEREF _Toc20296872 \h</w:instrText>
        </w:r>
        <w:r>
          <w:rPr>
            <w:webHidden/>
          </w:rPr>
          <w:fldChar w:fldCharType="separate"/>
        </w:r>
        <w:r>
          <w:rPr>
            <w:webHidden/>
            <w:rStyle w:val="Czeindeksu"/>
            <w:vanish w:val="false"/>
          </w:rPr>
          <w:t>3.8. Analiza oddziaływania „Programu…” na środowisko</w:t>
          <w:tab/>
          <w:t>47</w:t>
        </w:r>
        <w:r>
          <w:rPr>
            <w:webHidden/>
          </w:rPr>
          <w:fldChar w:fldCharType="end"/>
        </w:r>
      </w:hyperlink>
    </w:p>
    <w:p>
      <w:pPr>
        <w:pStyle w:val="Spistreci1"/>
        <w:rPr>
          <w:rFonts w:ascii="Calibri" w:hAnsi="Calibri" w:eastAsia="" w:cs="" w:asciiTheme="minorHAnsi" w:cstheme="minorBidi" w:eastAsiaTheme="minorEastAsia" w:hAnsiTheme="minorHAnsi"/>
        </w:rPr>
      </w:pPr>
      <w:hyperlink w:anchor="_Toc20296873">
        <w:r>
          <w:rPr>
            <w:webHidden/>
          </w:rPr>
          <w:fldChar w:fldCharType="begin"/>
        </w:r>
        <w:r>
          <w:rPr>
            <w:webHidden/>
          </w:rPr>
          <w:instrText>PAGEREF _Toc20296873 \h</w:instrText>
        </w:r>
        <w:r>
          <w:rPr>
            <w:webHidden/>
          </w:rPr>
          <w:fldChar w:fldCharType="separate"/>
        </w:r>
        <w:r>
          <w:rPr>
            <w:webHidden/>
            <w:rStyle w:val="Czeindeksu"/>
            <w:vanish w:val="false"/>
          </w:rPr>
          <w:t>4. ZADANIA JEDNOSTEK SAMORZĄDU TERYTORIALNEGO  W ZAKRESIE USUWANIA AZBESTU</w:t>
          <w:tab/>
          <w:t>48</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74">
        <w:r>
          <w:rPr>
            <w:webHidden/>
          </w:rPr>
          <w:fldChar w:fldCharType="begin"/>
        </w:r>
        <w:r>
          <w:rPr>
            <w:webHidden/>
          </w:rPr>
          <w:instrText>PAGEREF _Toc20296874 \h</w:instrText>
        </w:r>
        <w:r>
          <w:rPr>
            <w:webHidden/>
          </w:rPr>
          <w:fldChar w:fldCharType="separate"/>
        </w:r>
        <w:r>
          <w:rPr>
            <w:webHidden/>
            <w:rStyle w:val="Czeindeksu"/>
            <w:vanish w:val="false"/>
          </w:rPr>
          <w:t>4.1. Program Oczyszczania Kraju z Azbestu na lata 2009 – 2032</w:t>
          <w:tab/>
          <w:t>48</w:t>
        </w:r>
        <w:r>
          <w:rPr>
            <w:webHidden/>
          </w:rPr>
          <w:fldChar w:fldCharType="end"/>
        </w:r>
      </w:hyperlink>
    </w:p>
    <w:p>
      <w:pPr>
        <w:pStyle w:val="Spistreci1"/>
        <w:rPr>
          <w:rFonts w:ascii="Calibri" w:hAnsi="Calibri" w:eastAsia="" w:cs="" w:asciiTheme="minorHAnsi" w:cstheme="minorBidi" w:eastAsiaTheme="minorEastAsia" w:hAnsiTheme="minorHAnsi"/>
        </w:rPr>
      </w:pPr>
      <w:hyperlink w:anchor="_Toc20296875">
        <w:r>
          <w:rPr>
            <w:webHidden/>
          </w:rPr>
          <w:fldChar w:fldCharType="begin"/>
        </w:r>
        <w:r>
          <w:rPr>
            <w:webHidden/>
          </w:rPr>
          <w:instrText>PAGEREF _Toc20296875 \h</w:instrText>
        </w:r>
        <w:r>
          <w:rPr>
            <w:webHidden/>
          </w:rPr>
          <w:fldChar w:fldCharType="separate"/>
        </w:r>
        <w:r>
          <w:rPr>
            <w:webHidden/>
            <w:rStyle w:val="Czeindeksu"/>
            <w:vanish w:val="false"/>
          </w:rPr>
          <w:t>5. GOSPODAROWANIE WYROBAMI I ODPADAMI ZAWIERAJĄCYMI AZBEST NA TERENIE GMINY MROCZA</w:t>
          <w:tab/>
          <w:t>53</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76">
        <w:r>
          <w:rPr>
            <w:webHidden/>
          </w:rPr>
          <w:fldChar w:fldCharType="begin"/>
        </w:r>
        <w:r>
          <w:rPr>
            <w:webHidden/>
          </w:rPr>
          <w:instrText>PAGEREF _Toc20296876 \h</w:instrText>
        </w:r>
        <w:r>
          <w:rPr>
            <w:webHidden/>
          </w:rPr>
          <w:fldChar w:fldCharType="separate"/>
        </w:r>
        <w:r>
          <w:rPr>
            <w:webHidden/>
            <w:rStyle w:val="Czeindeksu"/>
            <w:vanish w:val="false"/>
          </w:rPr>
          <w:t>5.1. Wyroby zawierające azbest na terenie Gminy Mrocza  – rodzaj i ilość</w:t>
          <w:tab/>
          <w:t>53</w:t>
        </w:r>
        <w:r>
          <w:rPr>
            <w:webHidden/>
          </w:rPr>
          <w:fldChar w:fldCharType="end"/>
        </w:r>
      </w:hyperlink>
    </w:p>
    <w:p>
      <w:pPr>
        <w:pStyle w:val="Spistreci1"/>
        <w:rPr>
          <w:rFonts w:ascii="Calibri" w:hAnsi="Calibri" w:eastAsia="" w:cs="" w:asciiTheme="minorHAnsi" w:cstheme="minorBidi" w:eastAsiaTheme="minorEastAsia" w:hAnsiTheme="minorHAnsi"/>
        </w:rPr>
      </w:pPr>
      <w:hyperlink w:anchor="_Toc20296877">
        <w:r>
          <w:rPr>
            <w:webHidden/>
          </w:rPr>
          <w:fldChar w:fldCharType="begin"/>
        </w:r>
        <w:r>
          <w:rPr>
            <w:webHidden/>
          </w:rPr>
          <w:instrText>PAGEREF _Toc20296877 \h</w:instrText>
        </w:r>
        <w:r>
          <w:rPr>
            <w:webHidden/>
          </w:rPr>
          <w:fldChar w:fldCharType="separate"/>
        </w:r>
        <w:r>
          <w:rPr>
            <w:webHidden/>
            <w:rStyle w:val="Czeindeksu"/>
            <w:vanish w:val="false"/>
          </w:rPr>
          <w:t>5.3. Mapy zagrożenia działania azbestem</w:t>
          <w:tab/>
          <w:t>55</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78">
        <w:r>
          <w:rPr>
            <w:webHidden/>
          </w:rPr>
          <w:fldChar w:fldCharType="begin"/>
        </w:r>
        <w:r>
          <w:rPr>
            <w:webHidden/>
          </w:rPr>
          <w:instrText>PAGEREF _Toc20296878 \h</w:instrText>
        </w:r>
        <w:r>
          <w:rPr>
            <w:webHidden/>
          </w:rPr>
          <w:fldChar w:fldCharType="separate"/>
        </w:r>
        <w:r>
          <w:rPr>
            <w:webHidden/>
            <w:rStyle w:val="Czeindeksu"/>
            <w:vanish w:val="false"/>
          </w:rPr>
          <w:t>5.4. Kierunki i możliwości utylizacji odpadów zawierających azbest na terenie gminy Mrocza</w:t>
          <w:tab/>
          <w:t>56</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79">
        <w:r>
          <w:rPr>
            <w:webHidden/>
          </w:rPr>
          <w:fldChar w:fldCharType="begin"/>
        </w:r>
        <w:r>
          <w:rPr>
            <w:webHidden/>
          </w:rPr>
          <w:instrText>PAGEREF _Toc20296879 \h</w:instrText>
        </w:r>
        <w:r>
          <w:rPr>
            <w:webHidden/>
          </w:rPr>
          <w:fldChar w:fldCharType="separate"/>
        </w:r>
        <w:r>
          <w:rPr>
            <w:webHidden/>
            <w:rStyle w:val="Czeindeksu"/>
            <w:vanish w:val="false"/>
          </w:rPr>
          <w:t>5.5. Strategia w zakresie usuwania wyrobów zawierających azbest i unieszkodliwiania odpadów azbestowych</w:t>
          <w:tab/>
          <w:t>58</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80">
        <w:r>
          <w:rPr>
            <w:webHidden/>
          </w:rPr>
          <w:fldChar w:fldCharType="begin"/>
        </w:r>
        <w:r>
          <w:rPr>
            <w:webHidden/>
          </w:rPr>
          <w:instrText>PAGEREF _Toc20296880 \h</w:instrText>
        </w:r>
        <w:r>
          <w:rPr>
            <w:webHidden/>
          </w:rPr>
          <w:fldChar w:fldCharType="separate"/>
        </w:r>
        <w:r>
          <w:rPr>
            <w:webHidden/>
            <w:rStyle w:val="Czeindeksu"/>
            <w:vanish w:val="false"/>
          </w:rPr>
          <w:t>5.6. Harmonogram realizacji programu</w:t>
          <w:tab/>
          <w:t>59</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81">
        <w:r>
          <w:rPr>
            <w:webHidden/>
          </w:rPr>
          <w:fldChar w:fldCharType="begin"/>
        </w:r>
        <w:r>
          <w:rPr>
            <w:webHidden/>
          </w:rPr>
          <w:instrText>PAGEREF _Toc20296881 \h</w:instrText>
        </w:r>
        <w:r>
          <w:rPr>
            <w:webHidden/>
          </w:rPr>
          <w:fldChar w:fldCharType="separate"/>
        </w:r>
        <w:r>
          <w:rPr>
            <w:webHidden/>
            <w:rStyle w:val="Czeindeksu"/>
            <w:vanish w:val="false"/>
          </w:rPr>
          <w:t>5.7. Oszacowanie kosztów usuwania wyrobów zawierających azbest na obszarze gminy Mrocza</w:t>
          <w:tab/>
          <w:t>61</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82">
        <w:r>
          <w:rPr>
            <w:webHidden/>
          </w:rPr>
          <w:fldChar w:fldCharType="begin"/>
        </w:r>
        <w:r>
          <w:rPr>
            <w:webHidden/>
          </w:rPr>
          <w:instrText>PAGEREF _Toc20296882 \h</w:instrText>
        </w:r>
        <w:r>
          <w:rPr>
            <w:webHidden/>
          </w:rPr>
          <w:fldChar w:fldCharType="separate"/>
        </w:r>
        <w:r>
          <w:rPr>
            <w:webHidden/>
            <w:rStyle w:val="Czeindeksu"/>
            <w:vanish w:val="false"/>
          </w:rPr>
          <w:t>5.8. Możliwości pozyskania środków finansowych na działania związane  z unieszkodliwianiem wyrobów zawierających azbest z terenu gminy Mrocza</w:t>
          <w:tab/>
          <w:t>64</w:t>
        </w:r>
        <w:r>
          <w:rPr>
            <w:webHidden/>
          </w:rPr>
          <w:fldChar w:fldCharType="end"/>
        </w:r>
      </w:hyperlink>
    </w:p>
    <w:p>
      <w:pPr>
        <w:pStyle w:val="Spistreci1"/>
        <w:rPr>
          <w:rFonts w:ascii="Calibri" w:hAnsi="Calibri" w:eastAsia="" w:cs="" w:asciiTheme="minorHAnsi" w:cstheme="minorBidi" w:eastAsiaTheme="minorEastAsia" w:hAnsiTheme="minorHAnsi"/>
        </w:rPr>
      </w:pPr>
      <w:hyperlink w:anchor="_Toc20296883">
        <w:r>
          <w:rPr>
            <w:webHidden/>
          </w:rPr>
          <w:fldChar w:fldCharType="begin"/>
        </w:r>
        <w:r>
          <w:rPr>
            <w:webHidden/>
          </w:rPr>
          <w:instrText>PAGEREF _Toc20296883 \h</w:instrText>
        </w:r>
        <w:r>
          <w:rPr>
            <w:webHidden/>
          </w:rPr>
          <w:fldChar w:fldCharType="separate"/>
        </w:r>
        <w:r>
          <w:rPr>
            <w:webHidden/>
            <w:rStyle w:val="Czeindeksu"/>
            <w:vanish w:val="false"/>
          </w:rPr>
          <w:t>5.9. Monitorowanie efektów realizacji „Programu…”</w:t>
          <w:tab/>
          <w:t>67</w:t>
        </w:r>
        <w:r>
          <w:rPr>
            <w:webHidden/>
          </w:rPr>
          <w:fldChar w:fldCharType="end"/>
        </w:r>
      </w:hyperlink>
    </w:p>
    <w:p>
      <w:pPr>
        <w:pStyle w:val="Spistreci1"/>
        <w:rPr>
          <w:rFonts w:ascii="Calibri" w:hAnsi="Calibri" w:eastAsia="" w:cs="" w:asciiTheme="minorHAnsi" w:cstheme="minorBidi" w:eastAsiaTheme="minorEastAsia" w:hAnsiTheme="minorHAnsi"/>
        </w:rPr>
      </w:pPr>
      <w:hyperlink w:anchor="_Toc20296884">
        <w:r>
          <w:rPr>
            <w:webHidden/>
            <w:rStyle w:val="Czeindeksu"/>
            <w:vanish w:val="false"/>
          </w:rPr>
          <w:t>6.</w:t>
        </w:r>
        <w:r>
          <w:rPr>
            <w:rStyle w:val="Czeindeksu"/>
            <w:rFonts w:eastAsia="" w:cs="" w:ascii="Calibri" w:hAnsi="Calibri" w:asciiTheme="minorHAnsi" w:cstheme="minorBidi" w:eastAsiaTheme="minorEastAsia" w:hAnsiTheme="minorHAnsi"/>
          </w:rPr>
          <w:tab/>
        </w:r>
        <w:r>
          <w:rPr>
            <w:rStyle w:val="Czeindeksu"/>
          </w:rPr>
          <w:t>PODSUMOWANIE</w:t>
        </w:r>
        <w:r>
          <w:rPr>
            <w:webHidden/>
          </w:rPr>
          <w:fldChar w:fldCharType="begin"/>
        </w:r>
        <w:r>
          <w:rPr>
            <w:webHidden/>
          </w:rPr>
          <w:instrText>PAGEREF _Toc20296884 \h</w:instrText>
        </w:r>
        <w:r>
          <w:rPr>
            <w:webHidden/>
          </w:rPr>
          <w:fldChar w:fldCharType="separate"/>
        </w:r>
        <w:r>
          <w:rPr>
            <w:rStyle w:val="Czeindeksu"/>
            <w:vanish w:val="false"/>
          </w:rPr>
          <w:tab/>
          <w:t>69</w:t>
        </w:r>
        <w:r>
          <w:rPr>
            <w:webHidden/>
          </w:rPr>
          <w:fldChar w:fldCharType="end"/>
        </w:r>
      </w:hyperlink>
    </w:p>
    <w:p>
      <w:pPr>
        <w:pStyle w:val="Spistreci1"/>
        <w:rPr>
          <w:rFonts w:ascii="Calibri" w:hAnsi="Calibri" w:eastAsia="" w:cs="" w:asciiTheme="minorHAnsi" w:cstheme="minorBidi" w:eastAsiaTheme="minorEastAsia" w:hAnsiTheme="minorHAnsi"/>
        </w:rPr>
      </w:pPr>
      <w:hyperlink w:anchor="_Toc20296885">
        <w:r>
          <w:rPr>
            <w:webHidden/>
          </w:rPr>
          <w:fldChar w:fldCharType="begin"/>
        </w:r>
        <w:r>
          <w:rPr>
            <w:webHidden/>
          </w:rPr>
          <w:instrText>PAGEREF _Toc20296885 \h</w:instrText>
        </w:r>
        <w:r>
          <w:rPr>
            <w:webHidden/>
          </w:rPr>
          <w:fldChar w:fldCharType="separate"/>
        </w:r>
        <w:r>
          <w:rPr>
            <w:webHidden/>
            <w:rStyle w:val="Czeindeksu"/>
            <w:vanish w:val="false"/>
          </w:rPr>
          <w:t>7. ZAŁĄCZNIKI</w:t>
          <w:tab/>
          <w:t>70</w:t>
        </w:r>
        <w:r>
          <w:rPr>
            <w:webHidden/>
          </w:rPr>
          <w:fldChar w:fldCharType="end"/>
        </w:r>
      </w:hyperlink>
    </w:p>
    <w:p>
      <w:pPr>
        <w:pStyle w:val="Spistreci2"/>
        <w:rPr>
          <w:rFonts w:ascii="Calibri" w:hAnsi="Calibri" w:eastAsia="" w:cs="" w:asciiTheme="minorHAnsi" w:cstheme="minorBidi" w:eastAsiaTheme="minorEastAsia" w:hAnsiTheme="minorHAnsi"/>
        </w:rPr>
      </w:pPr>
      <w:hyperlink w:anchor="_Toc20296886">
        <w:r>
          <w:rPr>
            <w:webHidden/>
          </w:rPr>
          <w:fldChar w:fldCharType="begin"/>
        </w:r>
        <w:r>
          <w:rPr>
            <w:webHidden/>
          </w:rPr>
          <w:instrText>PAGEREF _Toc20296886 \h</w:instrText>
        </w:r>
        <w:r>
          <w:rPr>
            <w:webHidden/>
          </w:rPr>
          <w:fldChar w:fldCharType="separate"/>
        </w:r>
        <w:r>
          <w:rPr>
            <w:webHidden/>
            <w:rStyle w:val="Czeindeksu"/>
            <w:vanish w:val="false"/>
          </w:rPr>
          <w:tab/>
          <w:t>78</w:t>
        </w:r>
        <w:r>
          <w:rPr>
            <w:webHidden/>
          </w:rPr>
          <w:fldChar w:fldCharType="end"/>
        </w:r>
      </w:hyperlink>
    </w:p>
    <w:p>
      <w:pPr>
        <w:pStyle w:val="Spistreci1"/>
        <w:rPr>
          <w:rFonts w:ascii="Calibri" w:hAnsi="Calibri" w:eastAsia="" w:cs="" w:asciiTheme="minorHAnsi" w:cstheme="minorBidi" w:eastAsiaTheme="minorEastAsia" w:hAnsiTheme="minorHAnsi"/>
        </w:rPr>
      </w:pPr>
      <w:hyperlink w:anchor="_Toc20296887">
        <w:r>
          <w:rPr>
            <w:webHidden/>
            <w:rStyle w:val="Czeindeksu"/>
            <w:vanish w:val="false"/>
          </w:rPr>
          <w:t>8</w:t>
        </w:r>
        <w:r>
          <w:rPr>
            <w:rStyle w:val="Czeindeksu"/>
            <w:i/>
          </w:rPr>
          <w:t>.</w:t>
        </w:r>
        <w:r>
          <w:rPr>
            <w:rStyle w:val="Czeindeksu"/>
          </w:rPr>
          <w:t xml:space="preserve"> BIBLIOGRAFIA</w:t>
        </w:r>
        <w:r>
          <w:rPr>
            <w:webHidden/>
          </w:rPr>
          <w:fldChar w:fldCharType="begin"/>
        </w:r>
        <w:r>
          <w:rPr>
            <w:webHidden/>
          </w:rPr>
          <w:instrText>PAGEREF _Toc20296887 \h</w:instrText>
        </w:r>
        <w:r>
          <w:rPr>
            <w:webHidden/>
          </w:rPr>
          <w:fldChar w:fldCharType="separate"/>
        </w:r>
        <w:r>
          <w:rPr>
            <w:rStyle w:val="Czeindeksu"/>
            <w:vanish w:val="false"/>
          </w:rPr>
          <w:tab/>
          <w:t>94</w:t>
        </w:r>
        <w:r>
          <w:rPr>
            <w:webHidden/>
          </w:rPr>
          <w:fldChar w:fldCharType="end"/>
        </w:r>
      </w:hyperlink>
    </w:p>
    <w:p>
      <w:pPr>
        <w:pStyle w:val="Normal"/>
        <w:jc w:val="both"/>
        <w:rPr/>
      </w:pPr>
      <w:r>
        <w:rPr/>
      </w:r>
      <w:r>
        <w:rPr/>
        <w:fldChar w:fldCharType="end"/>
      </w:r>
    </w:p>
    <w:p>
      <w:pPr>
        <w:pStyle w:val="Normal"/>
        <w:spacing w:lineRule="auto" w:line="360"/>
        <w:rPr>
          <w:rFonts w:ascii="Cambria" w:hAnsi="Cambria"/>
          <w:b/>
          <w:b/>
        </w:rPr>
      </w:pPr>
      <w:r>
        <w:rPr>
          <w:rFonts w:ascii="Cambria" w:hAnsi="Cambria"/>
          <w:b/>
        </w:rPr>
      </w:r>
    </w:p>
    <w:p>
      <w:pPr>
        <w:pStyle w:val="Normal"/>
        <w:spacing w:lineRule="auto" w:line="360"/>
        <w:rPr>
          <w:rFonts w:ascii="Cambria" w:hAnsi="Cambria"/>
          <w:b/>
          <w:b/>
        </w:rPr>
      </w:pPr>
      <w:r>
        <w:rPr>
          <w:rFonts w:ascii="Cambria" w:hAnsi="Cambria"/>
          <w:b/>
        </w:rPr>
      </w:r>
    </w:p>
    <w:p>
      <w:pPr>
        <w:pStyle w:val="Normal"/>
        <w:jc w:val="center"/>
        <w:rPr/>
      </w:pPr>
      <w:r>
        <w:br w:type="column"/>
      </w:r>
      <w:r>
        <w:rPr>
          <w:rFonts w:cs="Arial" w:ascii="Arial" w:hAnsi="Arial"/>
          <w:b/>
          <w:sz w:val="28"/>
          <w:szCs w:val="28"/>
        </w:rPr>
        <w:t>Spis rysunków</w:t>
      </w:r>
    </w:p>
    <w:p>
      <w:pPr>
        <w:pStyle w:val="Normal"/>
        <w:spacing w:lineRule="auto" w:line="360"/>
        <w:jc w:val="center"/>
        <w:rPr/>
      </w:pPr>
      <w:r>
        <w:fldChar w:fldCharType="begin"/>
      </w:r>
      <w:r>
        <w:rPr/>
        <w:instrText> TOC \c "Rysunek" </w:instrText>
      </w:r>
      <w:r>
        <w:rPr/>
        <w:fldChar w:fldCharType="separate"/>
      </w:r>
      <w:r>
        <w:rPr/>
      </w:r>
      <w:r>
        <w:rPr/>
        <w:fldChar w:fldCharType="end"/>
      </w:r>
    </w:p>
    <w:p>
      <w:pPr>
        <w:pStyle w:val="Tableoffigures"/>
        <w:tabs>
          <w:tab w:val="right" w:pos="9486" w:leader="dot"/>
        </w:tabs>
        <w:rPr>
          <w:rFonts w:ascii="Arial" w:hAnsi="Arial" w:eastAsia="" w:cs="Arial" w:eastAsiaTheme="minorEastAsia"/>
        </w:rPr>
      </w:pPr>
      <w:hyperlink w:anchor="_Toc19785221">
        <w:r>
          <w:rPr>
            <w:rStyle w:val="Czeindeksu"/>
            <w:rFonts w:cs="Arial" w:ascii="Arial" w:hAnsi="Arial"/>
          </w:rPr>
          <w:t>Rysunek 1 Usytuowanie gminy Mrocza na tle województwa kujawsko pomorskiego</w:t>
        </w:r>
        <w:r>
          <w:fldChar w:fldCharType="begin"/>
        </w:r>
        <w:r>
          <w:rPr>
            <w:rStyle w:val="ListLabel1141"/>
          </w:rPr>
        </w:r>
        <w:r>
          <w:rPr>
            <w:rStyle w:val="ListLabel1141"/>
          </w:rPr>
          <w:fldChar w:fldCharType="separate"/>
        </w:r>
        <w:bookmarkStart w:id="2" w:name="__Fieldmark__351_428365364"/>
        <w:r>
          <w:rPr>
            <w:rStyle w:val="ListLabel1141"/>
          </w:rPr>
        </w:r>
        <w:r>
          <w:rPr>
            <w:rStyle w:val="ListLabel1141"/>
          </w:rPr>
        </w:r>
        <w:r>
          <w:rPr>
            <w:rStyle w:val="ListLabel1141"/>
          </w:rPr>
          <w:fldChar w:fldCharType="end"/>
        </w:r>
        <w:r>
          <w:fldChar w:fldCharType="begin"/>
        </w:r>
        <w:r>
          <w:rPr>
            <w:rStyle w:val="ListLabel1141"/>
          </w:rPr>
        </w:r>
        <w:r>
          <w:rPr>
            <w:rStyle w:val="ListLabel1141"/>
          </w:rPr>
          <w:fldChar w:fldCharType="separate"/>
        </w:r>
        <w:bookmarkStart w:id="3" w:name="__Fieldmark__357_428365364"/>
        <w:bookmarkStart w:id="4" w:name="__Fieldmark__615_3170854377"/>
        <w:bookmarkEnd w:id="2"/>
        <w:bookmarkEnd w:id="4"/>
        <w:r>
          <w:rPr>
            <w:rStyle w:val="ListLabel1141"/>
          </w:rPr>
        </w:r>
        <w:r>
          <w:rPr>
            <w:rStyle w:val="ListLabel1141"/>
          </w:rPr>
        </w:r>
        <w:r>
          <w:rPr>
            <w:rStyle w:val="ListLabel1141"/>
          </w:rPr>
          <w:fldChar w:fldCharType="end"/>
        </w:r>
        <w:bookmarkEnd w:id="3"/>
        <w:r>
          <w:rPr>
            <w:webHidden/>
          </w:rPr>
          <w:fldChar w:fldCharType="begin"/>
        </w:r>
        <w:r>
          <w:rPr>
            <w:webHidden/>
          </w:rPr>
          <w:instrText>PAGEREF _Toc19785221 \h</w:instrText>
        </w:r>
        <w:r>
          <w:rPr>
            <w:webHidden/>
          </w:rPr>
          <w:fldChar w:fldCharType="separate"/>
        </w:r>
        <w:r>
          <w:rPr>
            <w:rStyle w:val="ListLabel467"/>
            <w:vanish/>
          </w:rPr>
          <w:fldChar w:fldCharType="begin"/>
        </w:r>
        <w:r>
          <w:rPr>
            <w:webHidden/>
          </w:rPr>
          <w:fldChar w:fldCharType="end"/>
        </w:r>
        <w:r>
          <w:rPr>
            <w:rStyle w:val="ListLabel467"/>
            <w:vanish/>
          </w:rPr>
          <w:instrText> PAGEREF _Toc19785221 \h </w:instrText>
        </w:r>
        <w:r>
          <w:rPr>
            <w:rStyle w:val="ListLabel467"/>
            <w:vanish/>
          </w:rPr>
          <w:fldChar w:fldCharType="separate"/>
        </w:r>
        <w:r>
          <w:rPr>
            <w:rStyle w:val="ListLabel467"/>
            <w:vanish/>
          </w:rPr>
          <w:t>8</w:t>
        </w:r>
        <w:r>
          <w:rPr>
            <w:rStyle w:val="ListLabel467"/>
            <w:vanish/>
          </w:rPr>
          <w:fldChar w:fldCharType="end"/>
        </w:r>
      </w:hyperlink>
    </w:p>
    <w:p>
      <w:pPr>
        <w:pStyle w:val="Tableoffigures"/>
        <w:tabs>
          <w:tab w:val="right" w:pos="9486" w:leader="dot"/>
        </w:tabs>
        <w:rPr>
          <w:rFonts w:ascii="Arial" w:hAnsi="Arial" w:eastAsia="" w:cs="Arial" w:eastAsiaTheme="minorEastAsia"/>
        </w:rPr>
      </w:pPr>
      <w:hyperlink w:anchor="_Toc19785222">
        <w:r>
          <w:rPr>
            <w:rStyle w:val="Czeindeksu"/>
            <w:rFonts w:cs="Arial" w:ascii="Arial" w:hAnsi="Arial"/>
          </w:rPr>
          <w:t xml:space="preserve">Rysunek 2 Ilość wyrobów zawierających azbest pozostałych do unieszkodliwienia w przeliczeniu na 1 osobę </w:t>
        </w:r>
        <w:r>
          <w:fldChar w:fldCharType="begin"/>
        </w:r>
        <w:r>
          <w:rPr>
            <w:rStyle w:val="ListLabel1141"/>
          </w:rPr>
        </w:r>
        <w:r>
          <w:rPr>
            <w:rStyle w:val="ListLabel1141"/>
          </w:rPr>
          <w:fldChar w:fldCharType="separate"/>
        </w:r>
        <w:bookmarkStart w:id="5" w:name="__Fieldmark__363_428365364"/>
        <w:r>
          <w:rPr>
            <w:rStyle w:val="ListLabel1141"/>
          </w:rPr>
        </w:r>
        <w:r>
          <w:rPr>
            <w:rStyle w:val="ListLabel1141"/>
          </w:rPr>
        </w:r>
        <w:r>
          <w:rPr>
            <w:rStyle w:val="ListLabel1141"/>
          </w:rPr>
          <w:fldChar w:fldCharType="end"/>
        </w:r>
        <w:r>
          <w:fldChar w:fldCharType="begin"/>
        </w:r>
        <w:r>
          <w:rPr>
            <w:rStyle w:val="ListLabel1141"/>
          </w:rPr>
        </w:r>
        <w:r>
          <w:rPr>
            <w:rStyle w:val="ListLabel1141"/>
          </w:rPr>
          <w:fldChar w:fldCharType="separate"/>
        </w:r>
        <w:bookmarkStart w:id="6" w:name="__Fieldmark__369_428365364"/>
        <w:bookmarkStart w:id="7" w:name="__Fieldmark__622_3170854377"/>
        <w:bookmarkEnd w:id="5"/>
        <w:bookmarkEnd w:id="7"/>
        <w:r>
          <w:rPr>
            <w:rStyle w:val="ListLabel1141"/>
          </w:rPr>
        </w:r>
        <w:r>
          <w:rPr>
            <w:rStyle w:val="ListLabel1141"/>
          </w:rPr>
        </w:r>
        <w:r>
          <w:rPr>
            <w:rStyle w:val="ListLabel1141"/>
          </w:rPr>
          <w:fldChar w:fldCharType="end"/>
        </w:r>
        <w:bookmarkEnd w:id="6"/>
        <w:r>
          <w:rPr>
            <w:webHidden/>
          </w:rPr>
          <w:fldChar w:fldCharType="begin"/>
        </w:r>
        <w:r>
          <w:rPr>
            <w:webHidden/>
          </w:rPr>
          <w:instrText>PAGEREF _Toc19785222 \h</w:instrText>
        </w:r>
        <w:r>
          <w:rPr>
            <w:webHidden/>
          </w:rPr>
          <w:fldChar w:fldCharType="separate"/>
        </w:r>
        <w:r>
          <w:rPr>
            <w:rStyle w:val="ListLabel467"/>
            <w:vanish/>
          </w:rPr>
          <w:fldChar w:fldCharType="begin"/>
        </w:r>
        <w:r>
          <w:rPr>
            <w:webHidden/>
          </w:rPr>
          <w:fldChar w:fldCharType="end"/>
        </w:r>
        <w:r>
          <w:rPr>
            <w:rStyle w:val="ListLabel467"/>
            <w:vanish/>
          </w:rPr>
          <w:instrText> PAGEREF _Toc19785222 \h </w:instrText>
        </w:r>
        <w:r>
          <w:rPr>
            <w:rStyle w:val="ListLabel467"/>
            <w:vanish/>
          </w:rPr>
          <w:fldChar w:fldCharType="separate"/>
        </w:r>
        <w:r>
          <w:rPr>
            <w:rStyle w:val="ListLabel467"/>
            <w:vanish/>
          </w:rPr>
          <w:t>53</w:t>
        </w:r>
        <w:r>
          <w:rPr>
            <w:rStyle w:val="ListLabel467"/>
            <w:vanish/>
          </w:rPr>
          <w:fldChar w:fldCharType="end"/>
        </w:r>
      </w:hyperlink>
    </w:p>
    <w:p>
      <w:pPr>
        <w:pStyle w:val="Tableoffigures"/>
        <w:tabs>
          <w:tab w:val="right" w:pos="9486" w:leader="dot"/>
        </w:tabs>
        <w:rPr>
          <w:rFonts w:ascii="Arial" w:hAnsi="Arial" w:eastAsia="" w:cs="Arial" w:eastAsiaTheme="minorEastAsia"/>
        </w:rPr>
      </w:pPr>
      <w:hyperlink w:anchor="_Toc19785223">
        <w:r>
          <w:rPr>
            <w:rStyle w:val="Czeindeksu"/>
            <w:rFonts w:cs="Arial" w:ascii="Arial" w:hAnsi="Arial"/>
          </w:rPr>
          <w:t xml:space="preserve">Rysunek 5 Rozmieszczenie wyrobów zawierających azbest na terenie gminy Mrocza </w:t>
        </w:r>
        <w:r>
          <w:fldChar w:fldCharType="begin"/>
        </w:r>
        <w:r>
          <w:rPr>
            <w:rStyle w:val="ListLabel1141"/>
          </w:rPr>
        </w:r>
        <w:r>
          <w:rPr>
            <w:rStyle w:val="ListLabel1141"/>
          </w:rPr>
          <w:fldChar w:fldCharType="separate"/>
        </w:r>
        <w:bookmarkStart w:id="8" w:name="__Fieldmark__375_428365364"/>
        <w:r>
          <w:rPr>
            <w:rStyle w:val="ListLabel1141"/>
          </w:rPr>
        </w:r>
        <w:r>
          <w:rPr>
            <w:rStyle w:val="ListLabel1141"/>
          </w:rPr>
        </w:r>
        <w:r>
          <w:rPr>
            <w:rStyle w:val="ListLabel1141"/>
          </w:rPr>
          <w:fldChar w:fldCharType="end"/>
        </w:r>
        <w:r>
          <w:fldChar w:fldCharType="begin"/>
        </w:r>
        <w:r>
          <w:rPr>
            <w:rStyle w:val="ListLabel1141"/>
          </w:rPr>
        </w:r>
        <w:r>
          <w:rPr>
            <w:rStyle w:val="ListLabel1141"/>
          </w:rPr>
          <w:fldChar w:fldCharType="separate"/>
        </w:r>
        <w:bookmarkStart w:id="9" w:name="__Fieldmark__381_428365364"/>
        <w:bookmarkStart w:id="10" w:name="__Fieldmark__629_3170854377"/>
        <w:bookmarkEnd w:id="8"/>
        <w:bookmarkEnd w:id="10"/>
        <w:r>
          <w:rPr>
            <w:rStyle w:val="ListLabel1141"/>
          </w:rPr>
        </w:r>
        <w:r>
          <w:rPr>
            <w:rStyle w:val="ListLabel1141"/>
          </w:rPr>
        </w:r>
        <w:r>
          <w:rPr>
            <w:rStyle w:val="ListLabel1141"/>
          </w:rPr>
          <w:fldChar w:fldCharType="end"/>
        </w:r>
        <w:bookmarkEnd w:id="9"/>
        <w:r>
          <w:rPr>
            <w:webHidden/>
          </w:rPr>
          <w:fldChar w:fldCharType="begin"/>
        </w:r>
        <w:r>
          <w:rPr>
            <w:webHidden/>
          </w:rPr>
          <w:instrText>PAGEREF _Toc19785223 \h</w:instrText>
        </w:r>
        <w:r>
          <w:rPr>
            <w:webHidden/>
          </w:rPr>
          <w:fldChar w:fldCharType="separate"/>
        </w:r>
        <w:r>
          <w:rPr>
            <w:rStyle w:val="ListLabel467"/>
            <w:vanish/>
          </w:rPr>
          <w:fldChar w:fldCharType="begin"/>
        </w:r>
        <w:r>
          <w:rPr>
            <w:webHidden/>
          </w:rPr>
          <w:fldChar w:fldCharType="end"/>
        </w:r>
        <w:r>
          <w:rPr>
            <w:rStyle w:val="ListLabel467"/>
            <w:vanish/>
          </w:rPr>
          <w:instrText> PAGEREF _Toc19785223 \h </w:instrText>
        </w:r>
        <w:r>
          <w:rPr>
            <w:rStyle w:val="ListLabel467"/>
            <w:vanish/>
          </w:rPr>
          <w:fldChar w:fldCharType="separate"/>
        </w:r>
        <w:r>
          <w:rPr>
            <w:rStyle w:val="ListLabel467"/>
            <w:vanish/>
          </w:rPr>
          <w:t>56</w:t>
        </w:r>
        <w:r>
          <w:rPr>
            <w:rStyle w:val="ListLabel467"/>
            <w:vanish/>
          </w:rPr>
          <w:fldChar w:fldCharType="end"/>
        </w:r>
      </w:hyperlink>
    </w:p>
    <w:p>
      <w:pPr>
        <w:pStyle w:val="Normal"/>
        <w:spacing w:lineRule="auto" w:line="360"/>
        <w:rPr>
          <w:rFonts w:ascii="Arial" w:hAnsi="Arial" w:cs="Arial"/>
          <w:sz w:val="20"/>
          <w:szCs w:val="20"/>
        </w:rPr>
      </w:pPr>
      <w:r>
        <w:rPr>
          <w:rFonts w:cs="Arial" w:ascii="Arial" w:hAnsi="Arial"/>
          <w:sz w:val="20"/>
          <w:szCs w:val="20"/>
        </w:rPr>
      </w:r>
    </w:p>
    <w:p>
      <w:pPr>
        <w:pStyle w:val="Normal"/>
        <w:spacing w:lineRule="auto" w:line="360"/>
        <w:jc w:val="center"/>
        <w:rPr/>
      </w:pPr>
      <w:r>
        <w:rPr>
          <w:rFonts w:cs="Arial" w:ascii="Arial" w:hAnsi="Arial"/>
          <w:b/>
          <w:sz w:val="28"/>
          <w:szCs w:val="28"/>
        </w:rPr>
        <w:t>Spis tabel</w:t>
      </w:r>
    </w:p>
    <w:p>
      <w:pPr>
        <w:pStyle w:val="Tableoffigures"/>
        <w:tabs>
          <w:tab w:val="right" w:pos="9486" w:leader="dot"/>
        </w:tabs>
        <w:rPr>
          <w:rFonts w:ascii="Arial" w:hAnsi="Arial" w:eastAsia="" w:cs="Arial" w:eastAsiaTheme="minorEastAsia"/>
        </w:rPr>
      </w:pPr>
      <w:r>
        <w:fldChar w:fldCharType="begin"/>
      </w:r>
      <w:r>
        <w:rPr>
          <w:rStyle w:val="Czeindeksu"/>
          <w:rFonts w:cs="Arial" w:ascii="Arial" w:hAnsi="Arial"/>
        </w:rPr>
        <w:instrText> TOC \c "Tabela" </w:instrText>
      </w:r>
      <w:r>
        <w:rPr>
          <w:rStyle w:val="Czeindeksu"/>
          <w:rFonts w:cs="Arial" w:ascii="Arial" w:hAnsi="Arial"/>
        </w:rPr>
        <w:fldChar w:fldCharType="separate"/>
      </w:r>
      <w:hyperlink w:anchor="_Toc19787606">
        <w:r>
          <w:rPr>
            <w:rStyle w:val="Czeindeksu"/>
            <w:rFonts w:cs="Arial" w:ascii="Arial" w:hAnsi="Arial"/>
          </w:rPr>
          <w:t>Tabela 1  Rodzaje wyrobów azbestowych pozostających na terenie gminy Mrocza</w:t>
        </w:r>
        <w:r>
          <w:rPr>
            <w:webHidden/>
          </w:rPr>
          <w:fldChar w:fldCharType="begin"/>
        </w:r>
        <w:r>
          <w:rPr>
            <w:webHidden/>
          </w:rPr>
          <w:instrText>PAGEREF _Toc19787606 \h</w:instrText>
        </w:r>
        <w:r>
          <w:rPr>
            <w:webHidden/>
          </w:rPr>
          <w:fldChar w:fldCharType="separate"/>
        </w:r>
        <w:r>
          <w:rPr>
            <w:rStyle w:val="Czeindeksu"/>
            <w:rFonts w:cs="Arial" w:ascii="Arial" w:hAnsi="Arial"/>
            <w:vanish w:val="false"/>
          </w:rPr>
          <w:tab/>
          <w:t>54</w:t>
        </w:r>
        <w:r>
          <w:rPr>
            <w:webHidden/>
          </w:rPr>
          <w:fldChar w:fldCharType="end"/>
        </w:r>
      </w:hyperlink>
    </w:p>
    <w:p>
      <w:pPr>
        <w:pStyle w:val="Tableoffigures"/>
        <w:tabs>
          <w:tab w:val="right" w:pos="9486" w:leader="dot"/>
        </w:tabs>
        <w:rPr>
          <w:rFonts w:ascii="Arial" w:hAnsi="Arial" w:eastAsia="" w:cs="Arial" w:eastAsiaTheme="minorEastAsia"/>
        </w:rPr>
      </w:pPr>
      <w:hyperlink w:anchor="_Toc19787607">
        <w:r>
          <w:rPr>
            <w:rStyle w:val="Czeindeksu"/>
            <w:rFonts w:cs="Arial" w:ascii="Arial" w:hAnsi="Arial"/>
          </w:rPr>
          <w:t xml:space="preserve">Tabela 2 Ilości wyrobów zawierających azbest zlokalizowanych na terenie gminy Mrocza według formy własności </w:t>
        </w:r>
        <w:r>
          <w:rPr>
            <w:webHidden/>
          </w:rPr>
          <w:fldChar w:fldCharType="begin"/>
        </w:r>
        <w:r>
          <w:rPr>
            <w:webHidden/>
          </w:rPr>
          <w:instrText>PAGEREF _Toc19787607 \h</w:instrText>
        </w:r>
        <w:r>
          <w:rPr>
            <w:webHidden/>
          </w:rPr>
          <w:fldChar w:fldCharType="separate"/>
        </w:r>
        <w:r>
          <w:rPr>
            <w:rStyle w:val="Czeindeksu"/>
            <w:rFonts w:cs="Arial" w:ascii="Arial" w:hAnsi="Arial"/>
            <w:vanish w:val="false"/>
          </w:rPr>
          <w:tab/>
          <w:t>54</w:t>
        </w:r>
        <w:r>
          <w:rPr>
            <w:webHidden/>
          </w:rPr>
          <w:fldChar w:fldCharType="end"/>
        </w:r>
      </w:hyperlink>
    </w:p>
    <w:p>
      <w:pPr>
        <w:pStyle w:val="Tableoffigures"/>
        <w:tabs>
          <w:tab w:val="right" w:pos="9486" w:leader="dot"/>
        </w:tabs>
        <w:rPr>
          <w:rFonts w:ascii="Arial" w:hAnsi="Arial" w:eastAsia="" w:cs="Arial" w:eastAsiaTheme="minorEastAsia"/>
        </w:rPr>
      </w:pPr>
      <w:hyperlink w:anchor="_Toc19787608">
        <w:r>
          <w:rPr>
            <w:rStyle w:val="Czeindeksu"/>
            <w:rFonts w:cs="Arial" w:ascii="Arial" w:hAnsi="Arial"/>
          </w:rPr>
          <w:t>Tabela 3 Ocena stanu technicznego wyrobów zawierających azbest w obiektach będących własnością osób fizycznych i prawnych, zlokalizowanych na terenie Gminy Mrocza</w:t>
        </w:r>
        <w:r>
          <w:rPr>
            <w:webHidden/>
          </w:rPr>
          <w:fldChar w:fldCharType="begin"/>
        </w:r>
        <w:r>
          <w:rPr>
            <w:webHidden/>
          </w:rPr>
          <w:instrText>PAGEREF _Toc19787608 \h</w:instrText>
        </w:r>
        <w:r>
          <w:rPr>
            <w:webHidden/>
          </w:rPr>
          <w:fldChar w:fldCharType="separate"/>
        </w:r>
        <w:r>
          <w:rPr>
            <w:rStyle w:val="Czeindeksu"/>
            <w:rFonts w:cs="Arial" w:ascii="Arial" w:hAnsi="Arial"/>
            <w:vanish w:val="false"/>
          </w:rPr>
          <w:tab/>
          <w:t>55</w:t>
        </w:r>
        <w:r>
          <w:rPr>
            <w:webHidden/>
          </w:rPr>
          <w:fldChar w:fldCharType="end"/>
        </w:r>
      </w:hyperlink>
    </w:p>
    <w:p>
      <w:pPr>
        <w:pStyle w:val="Tableoffigures"/>
        <w:tabs>
          <w:tab w:val="right" w:pos="9486" w:leader="dot"/>
        </w:tabs>
        <w:rPr>
          <w:rFonts w:ascii="Arial" w:hAnsi="Arial" w:eastAsia="" w:cs="Arial" w:eastAsiaTheme="minorEastAsia"/>
        </w:rPr>
      </w:pPr>
      <w:hyperlink w:anchor="_Toc19787609">
        <w:r>
          <w:rPr>
            <w:rStyle w:val="Czeindeksu"/>
            <w:rFonts w:cs="Arial" w:ascii="Arial" w:hAnsi="Arial"/>
          </w:rPr>
          <w:t>Tabela 4 Składowiska na terenie województwa kujawsko-pomorskiego  przyjmujące do składowania odpady zawierające azbest</w:t>
        </w:r>
        <w:r>
          <w:rPr>
            <w:webHidden/>
          </w:rPr>
          <w:fldChar w:fldCharType="begin"/>
        </w:r>
        <w:r>
          <w:rPr>
            <w:webHidden/>
          </w:rPr>
          <w:instrText>PAGEREF _Toc19787609 \h</w:instrText>
        </w:r>
        <w:r>
          <w:rPr>
            <w:webHidden/>
          </w:rPr>
          <w:fldChar w:fldCharType="separate"/>
        </w:r>
        <w:r>
          <w:rPr>
            <w:rStyle w:val="Czeindeksu"/>
            <w:rFonts w:cs="Arial" w:ascii="Arial" w:hAnsi="Arial"/>
            <w:vanish w:val="false"/>
          </w:rPr>
          <w:tab/>
          <w:t>58</w:t>
        </w:r>
        <w:r>
          <w:rPr>
            <w:webHidden/>
          </w:rPr>
          <w:fldChar w:fldCharType="end"/>
        </w:r>
      </w:hyperlink>
    </w:p>
    <w:p>
      <w:pPr>
        <w:pStyle w:val="Tableoffigures"/>
        <w:tabs>
          <w:tab w:val="right" w:pos="9486" w:leader="dot"/>
        </w:tabs>
        <w:rPr>
          <w:rFonts w:ascii="Arial" w:hAnsi="Arial" w:eastAsia="" w:cs="Arial" w:eastAsiaTheme="minorEastAsia"/>
        </w:rPr>
      </w:pPr>
      <w:hyperlink w:anchor="_Toc19787610">
        <w:r>
          <w:rPr>
            <w:rStyle w:val="Czeindeksu"/>
            <w:rFonts w:cs="Arial" w:ascii="Arial" w:hAnsi="Arial"/>
          </w:rPr>
          <w:t>Tabela 5 Harmonogram działań zmierzających do usunięcia wyrobów zawierających azbest na terenie gminy Mrocza</w:t>
        </w:r>
        <w:r>
          <w:rPr>
            <w:webHidden/>
          </w:rPr>
          <w:fldChar w:fldCharType="begin"/>
        </w:r>
        <w:r>
          <w:rPr>
            <w:webHidden/>
          </w:rPr>
          <w:instrText>PAGEREF _Toc19787610 \h</w:instrText>
        </w:r>
        <w:r>
          <w:rPr>
            <w:webHidden/>
          </w:rPr>
          <w:fldChar w:fldCharType="separate"/>
        </w:r>
        <w:r>
          <w:rPr>
            <w:rStyle w:val="Czeindeksu"/>
            <w:rFonts w:cs="Arial" w:ascii="Arial" w:hAnsi="Arial"/>
            <w:vanish w:val="false"/>
          </w:rPr>
          <w:tab/>
          <w:t>60</w:t>
        </w:r>
        <w:r>
          <w:rPr>
            <w:webHidden/>
          </w:rPr>
          <w:fldChar w:fldCharType="end"/>
        </w:r>
      </w:hyperlink>
    </w:p>
    <w:p>
      <w:pPr>
        <w:pStyle w:val="Tableoffigures"/>
        <w:tabs>
          <w:tab w:val="right" w:pos="9486" w:leader="dot"/>
        </w:tabs>
        <w:rPr>
          <w:rFonts w:ascii="Arial" w:hAnsi="Arial" w:eastAsia="" w:cs="Arial" w:eastAsiaTheme="minorEastAsia"/>
        </w:rPr>
      </w:pPr>
      <w:hyperlink w:anchor="_Toc19787611">
        <w:r>
          <w:rPr>
            <w:rStyle w:val="Czeindeksu"/>
            <w:rFonts w:cs="Arial" w:ascii="Arial" w:hAnsi="Arial"/>
          </w:rPr>
          <w:t>Tabela 6 Wydatki z budżetu państwa pozostające w dyspozycji Ministra Gospodarki dla realizacji Programu Oczyszczania Kraju z Azbestu na lata 2009-2032</w:t>
        </w:r>
        <w:r>
          <w:rPr>
            <w:webHidden/>
          </w:rPr>
          <w:fldChar w:fldCharType="begin"/>
        </w:r>
        <w:r>
          <w:rPr>
            <w:webHidden/>
          </w:rPr>
          <w:instrText>PAGEREF _Toc19787611 \h</w:instrText>
        </w:r>
        <w:r>
          <w:rPr>
            <w:webHidden/>
          </w:rPr>
          <w:fldChar w:fldCharType="separate"/>
        </w:r>
        <w:r>
          <w:rPr>
            <w:rStyle w:val="Czeindeksu"/>
            <w:rFonts w:cs="Arial" w:ascii="Arial" w:hAnsi="Arial"/>
            <w:vanish w:val="false"/>
          </w:rPr>
          <w:tab/>
          <w:t>65</w:t>
        </w:r>
        <w:r>
          <w:rPr>
            <w:webHidden/>
          </w:rPr>
          <w:fldChar w:fldCharType="end"/>
        </w:r>
      </w:hyperlink>
    </w:p>
    <w:p>
      <w:pPr>
        <w:pStyle w:val="Tableoffigures"/>
        <w:tabs>
          <w:tab w:val="right" w:pos="9486" w:leader="dot"/>
        </w:tabs>
        <w:rPr>
          <w:rFonts w:ascii="Arial" w:hAnsi="Arial" w:eastAsia="" w:cs="Arial" w:eastAsiaTheme="minorEastAsia"/>
        </w:rPr>
      </w:pPr>
      <w:hyperlink w:anchor="_Toc19787612">
        <w:r>
          <w:rPr>
            <w:rStyle w:val="Czeindeksu"/>
            <w:rFonts w:cs="Arial" w:ascii="Arial" w:hAnsi="Arial"/>
          </w:rPr>
          <w:t>Tabela 7 Proponowane wskaźniki monitoringu „Programu…”</w:t>
        </w:r>
        <w:r>
          <w:rPr>
            <w:webHidden/>
          </w:rPr>
          <w:fldChar w:fldCharType="begin"/>
        </w:r>
        <w:r>
          <w:rPr>
            <w:webHidden/>
          </w:rPr>
          <w:instrText>PAGEREF _Toc19787612 \h</w:instrText>
        </w:r>
        <w:r>
          <w:rPr>
            <w:webHidden/>
          </w:rPr>
          <w:fldChar w:fldCharType="separate"/>
        </w:r>
        <w:r>
          <w:rPr>
            <w:rStyle w:val="Czeindeksu"/>
            <w:rFonts w:cs="Arial" w:ascii="Arial" w:hAnsi="Arial"/>
            <w:vanish w:val="false"/>
          </w:rPr>
          <w:tab/>
          <w:t>67</w:t>
        </w:r>
        <w:r>
          <w:rPr>
            <w:webHidden/>
          </w:rPr>
          <w:fldChar w:fldCharType="end"/>
        </w:r>
      </w:hyperlink>
    </w:p>
    <w:p>
      <w:pPr>
        <w:pStyle w:val="Normal"/>
        <w:spacing w:lineRule="auto" w:line="360"/>
        <w:rPr>
          <w:rFonts w:ascii="Arial" w:hAnsi="Arial" w:cs="Arial"/>
        </w:rPr>
      </w:pPr>
      <w:r>
        <w:rPr>
          <w:rFonts w:cs="Arial" w:ascii="Arial" w:hAnsi="Arial"/>
        </w:rPr>
      </w:r>
      <w:r>
        <w:rPr>
          <w:rFonts w:cs="Arial" w:ascii="Arial" w:hAnsi="Arial"/>
        </w:rPr>
        <w:fldChar w:fldCharType="end"/>
      </w:r>
    </w:p>
    <w:p>
      <w:pPr>
        <w:pStyle w:val="Normal"/>
        <w:rPr/>
      </w:pPr>
      <w:r>
        <w:rPr/>
      </w:r>
      <w:r>
        <w:br w:type="page"/>
      </w:r>
    </w:p>
    <w:p>
      <w:pPr>
        <w:pStyle w:val="Nagwek1"/>
        <w:numPr>
          <w:ilvl w:val="0"/>
          <w:numId w:val="30"/>
        </w:numPr>
        <w:rPr/>
      </w:pPr>
      <w:bookmarkStart w:id="11" w:name="_Toc20296854"/>
      <w:r>
        <w:rPr/>
        <w:t>WSTĘP</w:t>
      </w:r>
      <w:bookmarkEnd w:id="11"/>
    </w:p>
    <w:p>
      <w:pPr>
        <w:pStyle w:val="Nagwek2"/>
        <w:rPr/>
      </w:pPr>
      <w:bookmarkStart w:id="12" w:name="_Toc20296855"/>
      <w:r>
        <w:rPr/>
        <w:t>1.1. Wprowadzenie</w:t>
      </w:r>
      <w:bookmarkEnd w:id="12"/>
    </w:p>
    <w:p>
      <w:pPr>
        <w:pStyle w:val="BodyTextIndent3"/>
        <w:tabs>
          <w:tab w:val="left" w:pos="709" w:leader="none"/>
        </w:tabs>
        <w:ind w:hanging="0"/>
        <w:rPr>
          <w:rFonts w:ascii="Calibri" w:hAnsi="Calibri" w:eastAsia="Times New Roman"/>
          <w:sz w:val="22"/>
          <w:szCs w:val="22"/>
        </w:rPr>
      </w:pPr>
      <w:r>
        <w:rPr>
          <w:rFonts w:eastAsia="Times New Roman" w:ascii="Calibri" w:hAnsi="Calibri"/>
          <w:sz w:val="22"/>
          <w:szCs w:val="22"/>
        </w:rPr>
      </w:r>
    </w:p>
    <w:p>
      <w:pPr>
        <w:pStyle w:val="BodyTextIndent3"/>
        <w:tabs>
          <w:tab w:val="left" w:pos="709" w:leader="none"/>
        </w:tabs>
        <w:ind w:firstLine="709"/>
        <w:rPr>
          <w:rFonts w:eastAsia="Calibri" w:cs="Arial"/>
          <w:sz w:val="22"/>
          <w:szCs w:val="22"/>
        </w:rPr>
      </w:pPr>
      <w:r>
        <w:rPr>
          <w:rFonts w:eastAsia="Calibri" w:cs="Arial"/>
          <w:sz w:val="22"/>
          <w:szCs w:val="22"/>
        </w:rPr>
        <w:t xml:space="preserve">Opracowanie niniejszego dokumentu związane jest z realizacją zapisów zawartych                 w </w:t>
      </w:r>
      <w:r>
        <w:rPr>
          <w:rFonts w:eastAsia="Calibri" w:cs="Arial"/>
          <w:i/>
          <w:sz w:val="22"/>
          <w:szCs w:val="22"/>
        </w:rPr>
        <w:t>Programie Oczyszczania Kraju z Azbestu na lata 2009 – 2032</w:t>
      </w:r>
      <w:r>
        <w:rPr>
          <w:rFonts w:eastAsia="Calibri" w:cs="Arial"/>
          <w:sz w:val="22"/>
          <w:szCs w:val="22"/>
        </w:rPr>
        <w:t xml:space="preserve"> (przyjętego uchwałą Nr 39/2010 Rady Ministrów z dnia 15 marca 2010 r.), w którym wskazano, iż do zadań samorządu gminnego należy przygotowanie i aktualizacja programów usuwania azbestu i wyrobów zawierających azbest. Programy te mają za zadanie zawierać i wspomagać zaplanowane w skali gminy działania w zakresie usuwania wyrobów zawierających azbest. </w:t>
      </w:r>
    </w:p>
    <w:p>
      <w:pPr>
        <w:pStyle w:val="BodyTextIndent3"/>
        <w:tabs>
          <w:tab w:val="left" w:pos="709" w:leader="none"/>
        </w:tabs>
        <w:ind w:firstLine="709"/>
        <w:rPr>
          <w:rFonts w:cs="Arial"/>
          <w:sz w:val="22"/>
          <w:szCs w:val="22"/>
        </w:rPr>
      </w:pPr>
      <w:r>
        <w:rPr>
          <w:rFonts w:cs="Arial"/>
        </w:rPr>
        <w:t xml:space="preserve"> </w:t>
      </w:r>
      <w:r>
        <w:rPr>
          <w:rFonts w:cs="Arial"/>
          <w:sz w:val="22"/>
          <w:szCs w:val="22"/>
        </w:rPr>
        <w:t xml:space="preserve">Władze samorządowe, mając na uwadze zdrowie mieszkańców oraz prawo Unii Europejskiej podjęły działania w kierunku likwidacji tak niebezpiecznego odpadu, jakim jest azbest. Uchwałą nr VIII/57/11 z dnia 29.04.2011 r. przyjęto „Programu usuwania azbestu i wyrobów zawierających azbest dla Miasta i Gminy Mrocza". W związku ze zmianami prawnymi, które zaszły od czasu uchwalenia tegoż dokumentu konieczne było uaktualnienie programu, w związku </w:t>
        <w:br/>
        <w:t xml:space="preserve">z powyższym powstało niniejsze opracowanie. </w:t>
      </w:r>
    </w:p>
    <w:p>
      <w:pPr>
        <w:pStyle w:val="BodyTextIndent3"/>
        <w:tabs>
          <w:tab w:val="left" w:pos="709" w:leader="none"/>
        </w:tabs>
        <w:ind w:right="57" w:hanging="0"/>
        <w:rPr>
          <w:rFonts w:cs="Arial"/>
        </w:rPr>
      </w:pPr>
      <w:r>
        <w:rPr>
          <w:rFonts w:eastAsia="Calibri"/>
          <w:sz w:val="22"/>
          <w:szCs w:val="22"/>
        </w:rPr>
        <w:tab/>
        <w:t xml:space="preserve"> Realizacja zapisów niniejszego dokumentu pt. „Programu usuwania azbestu i wyrobów zawierających azbest dla Miasta i Gminy Mrocza" zwanego w dalszej części opracowania „Programem…” wpłynie na poprawę stanu środowiska poprzez podwyższenie jakości powietrza atmosferycznego, wyeliminowanie włókien azbestowych z powietrza a tym samym zwiększy komfort życia, pracy i wypoczynku w gminie, podnosząc efektywnie jej atrakcyjność oraz wartość materialną obiektów, tym samym poprawiając status ekonomiczny i ekologiczny mieszkańców.</w:t>
      </w:r>
    </w:p>
    <w:p>
      <w:pPr>
        <w:pStyle w:val="Tretekstu"/>
        <w:spacing w:lineRule="auto" w:line="360" w:before="0" w:after="0"/>
        <w:ind w:firstLine="709"/>
        <w:jc w:val="both"/>
        <w:rPr>
          <w:rFonts w:ascii="Arial" w:hAnsi="Arial" w:eastAsia="Calibri" w:cs="Arial"/>
        </w:rPr>
      </w:pPr>
      <w:r>
        <w:rPr>
          <w:rFonts w:eastAsia="Calibri" w:cs="Arial" w:ascii="Arial" w:hAnsi="Arial"/>
        </w:rPr>
        <w:t>W „Programie…”, w oparciu o wy</w:t>
      </w:r>
      <w:r>
        <w:rPr>
          <w:rFonts w:cs="Arial" w:ascii="Arial" w:hAnsi="Arial"/>
        </w:rPr>
        <w:t xml:space="preserve">niki analiz aktualnego  stanu </w:t>
      </w:r>
      <w:r>
        <w:rPr>
          <w:rFonts w:eastAsia="Calibri" w:cs="Arial" w:ascii="Arial" w:hAnsi="Arial"/>
        </w:rPr>
        <w:t>opracowano kierunki działań i wytyczono cele oraz zadania strategiczne (z podaniem harmonogramów realizacji i określeniem kosztów realizacji „Programu…”). Realizacja tych działań umożliwi spełnienie obowiązujących wymogów prawnych, uporządkowanie i scentralizowanie gospodarki odpadami zawierającymi azbest oraz poprawę jakości środowiska na terenie Miasta i Gminy Mrocza</w:t>
      </w:r>
    </w:p>
    <w:p>
      <w:pPr>
        <w:pStyle w:val="ListParagraph"/>
        <w:spacing w:lineRule="auto" w:line="360"/>
        <w:ind w:left="0" w:firstLine="708"/>
        <w:jc w:val="both"/>
        <w:rPr>
          <w:rFonts w:ascii="Arial" w:hAnsi="Arial" w:cs="Arial"/>
        </w:rPr>
      </w:pPr>
      <w:r>
        <w:rPr>
          <w:rFonts w:cs="Arial" w:ascii="Arial" w:hAnsi="Arial"/>
        </w:rPr>
        <w:t xml:space="preserve">Stosowanie przez kolejne lata wyrobów azbestowych w budownictwie wpłynęło na jego nagromadzenie się w gospodarstwach i obiektach budowlanych. Obecnie wyeliminowanie wyrobów azbestowych jest procesem kosztownym i wieloletnim. Wynika to z przepisów i procedury postępowania z odpadami niebezpiecznymi, jakim jest azbest. Przedmiotowy „Program…” wskazuje na właściwy przebieg tych prac, wielkości finansowe przedsięwzięcia, a także uwzględnia sytuację finansową mieszkańców i ich obawy w zakresie gospodarowania azbestem. „Program…” zawiera nie tylko wskazanie ilości aktualnie pozostających wyrobów azbestowych na terenie gminy, kosztów realizacji ich usuwania, ale także działania edukacyjne i monitorujące, ponieważ na sprawne przeprowadzenie usuwania azbestu ma wpływ wiedza i znajomość procedur posiadaczy wyrobów azbestowych (np. realizacja usuwania azbestu przy okazji remontów dachu, napraw, itp.). Trwałość płyt azbestowo-cementowych szacuje się na 30 lat. „Korodujące” wyroby zawierające azbest uwalniają pył azbestowy, który wnikając do organizmu wywołuje poważne choroby układu oddechowego i nie tylko. </w:t>
      </w:r>
    </w:p>
    <w:p>
      <w:pPr>
        <w:pStyle w:val="ListParagraph"/>
        <w:spacing w:lineRule="auto" w:line="360"/>
        <w:ind w:left="0" w:firstLine="708"/>
        <w:jc w:val="both"/>
        <w:rPr>
          <w:rFonts w:ascii="Arial" w:hAnsi="Arial" w:cs="Arial"/>
        </w:rPr>
      </w:pPr>
      <w:r>
        <w:rPr>
          <w:rFonts w:cs="Arial" w:ascii="Arial" w:hAnsi="Arial"/>
        </w:rPr>
        <w:t>Wg danych zawartych w Programie Oczyszczania Kraju z Azbestu na lata 2009 – 2032 szacuje się, że na terenie naszego kraju znajduje się 15 466 000 Mg wyrobów zawierających azbest, w tym 14 866 000 Mg to płyty azbestowo-cementowe ( 1 351 500 tys. m</w:t>
      </w:r>
      <w:r>
        <w:rPr>
          <w:rFonts w:cs="Arial" w:ascii="Arial" w:hAnsi="Arial"/>
          <w:vertAlign w:val="superscript"/>
        </w:rPr>
        <w:t>2</w:t>
      </w:r>
      <w:r>
        <w:rPr>
          <w:rFonts w:cs="Arial" w:ascii="Arial" w:hAnsi="Arial"/>
        </w:rPr>
        <w:t xml:space="preserve">) oraz 600 000 Mg rur i innych wyrobów azbestowo cementowych. Niniejszy „Program…” ma charakter lokalny, jest jednak spójny z głównymi założeniami programów wyższego szczebla. </w:t>
      </w:r>
    </w:p>
    <w:p>
      <w:pPr>
        <w:pStyle w:val="Normal"/>
        <w:spacing w:lineRule="auto" w:line="360" w:before="0" w:after="0"/>
        <w:ind w:firstLine="709"/>
        <w:jc w:val="both"/>
        <w:rPr>
          <w:rFonts w:ascii="Arial" w:hAnsi="Arial" w:cs="Arial"/>
        </w:rPr>
      </w:pPr>
      <w:r>
        <w:rPr>
          <w:rFonts w:eastAsia="Calibri" w:cs="Arial" w:ascii="Arial" w:hAnsi="Arial"/>
        </w:rPr>
        <w:t xml:space="preserve">Azbest znany jest od kilku tysięcy lat. Szerokie jego rozpowszechnienie nastąpiło </w:t>
        <w:br/>
        <w:t xml:space="preserve">w okresie ostatnich 100 lat. Z uwagi na swoje niewątpliwe zalety (unikalne właściwości), takie jak miękkość, giętkość, ognioodporność, odporność na działanie mrozu, kwasów, </w:t>
        <w:br/>
        <w:t xml:space="preserve">a także dobrą elastyczność, właściwości mechaniczne i małe przewodnictwo cieplne wykorzystywany był chętnie, jako cenny surowiec również w Polsce. Od czasów starożytnych azbest postrzegano, jako jedwab tajemniczego świata minerałów. Stosowany był w produkcji około 3000 wyrobów przemysłowych, lecz przede wszystkim, (co najmniej około 85%) do produkcji wyrobów budowlanych, szczególnie płyt dachowych i elewacyjnych, a także, w mniejszych ilościach, do produkcji rur, rozmaitych kształtek do kanałów wentylacyjnych, instalacyjnych i innych. </w:t>
      </w:r>
    </w:p>
    <w:p>
      <w:pPr>
        <w:pStyle w:val="Normal"/>
        <w:tabs>
          <w:tab w:val="left" w:pos="567" w:leader="none"/>
        </w:tabs>
        <w:spacing w:lineRule="auto" w:line="360" w:before="0" w:after="0"/>
        <w:ind w:firstLine="709"/>
        <w:jc w:val="both"/>
        <w:rPr>
          <w:rFonts w:ascii="Arial" w:hAnsi="Arial" w:eastAsia="Calibri" w:cs="Arial"/>
          <w:i/>
          <w:i/>
        </w:rPr>
      </w:pPr>
      <w:r>
        <w:rPr>
          <w:rFonts w:eastAsia="Calibri" w:cs="Arial" w:ascii="Arial" w:hAnsi="Arial"/>
        </w:rPr>
        <w:t xml:space="preserve">Produkcja płyt azbestowo - cementowych na ziemiach polskich rozpoczęła się </w:t>
        <w:br/>
        <w:t xml:space="preserve">w 1907 rok i trwała do roku 1998.  W wyniku szerokiego zastosowania praktycznego materiały zawierające azbest należą do substancji stwarzających szczególne zagrożenie dla zdrowia ludzi i z tego powodu powinny podlegać sukcesywnej eliminacji. Odpady zawierające azbest należą do odpadów niebezpiecznych, a gospodarka nimi wymaga prawidłowego podejścia oraz szczególnej kontroli. Zasady postępowania z odpadami zawierającymi azbest reguluje szereg przepisów. </w:t>
      </w:r>
      <w:r>
        <w:rPr>
          <w:rFonts w:eastAsia="Calibri" w:cs="Arial" w:ascii="Arial" w:hAnsi="Arial"/>
          <w:i/>
        </w:rPr>
        <w:t>Ustawa z dnia 19 czerwca 1997 r. o zakazie stosowania wyrobów zawierających azbest (Dz.U. 2017 poz. 2119)</w:t>
      </w:r>
      <w:r>
        <w:rPr>
          <w:rFonts w:eastAsia="Calibri" w:cs="Arial" w:ascii="Arial" w:hAnsi="Arial"/>
        </w:rPr>
        <w:t xml:space="preserve"> praktycznie zamknęła okres stosowania wyrobów zawierających azbest </w:t>
        <w:br/>
        <w:t>w Polsce. Do rozwiązania pozostaje natomiast – bardzo ważny ze względu na zdrowie ludzi i stan środowiska – problem sukcesywnego usuwania już wyprodukowanych  wyrobów zawierających azbest. Groźne dla zdrowia są włókna azbestu (respirabilne), wystarczająco drobne by przeniknąć głęboko do płuc. Włókna powstają na skutek działania mechanicznego (np. gdy płyty azbestowe są łamane lub poddane jakiejkolwiek obróbce mechanicznej lub ścieraniu).</w:t>
      </w:r>
    </w:p>
    <w:p>
      <w:pPr>
        <w:pStyle w:val="Normal"/>
        <w:spacing w:lineRule="auto" w:line="360" w:before="0" w:after="0"/>
        <w:ind w:firstLine="709"/>
        <w:jc w:val="both"/>
        <w:rPr>
          <w:rFonts w:ascii="Arial" w:hAnsi="Arial" w:eastAsia="Calibri" w:cs="Arial"/>
        </w:rPr>
      </w:pPr>
      <w:r>
        <w:rPr>
          <w:rFonts w:eastAsia="Calibri" w:cs="Arial" w:ascii="Arial" w:hAnsi="Arial"/>
        </w:rPr>
        <w:t xml:space="preserve">Rada Ministrów Rzeczypospolitej Polskiej w dniu 15 marca 2010 roku przyjęła "Program Oczyszczania Kraju z Azbestu na lata 2009 - 2032" zwany dalej „Krajowym Programem (…)”. Realizacja zadań przewidzianych w tym „Krajowym Programie (...)" wymaga zaangażowania administracji publicznej i różnych instytucji działających na trzech poziomach: </w:t>
      </w:r>
    </w:p>
    <w:p>
      <w:pPr>
        <w:pStyle w:val="Normal"/>
        <w:numPr>
          <w:ilvl w:val="0"/>
          <w:numId w:val="50"/>
        </w:numPr>
        <w:spacing w:lineRule="auto" w:line="360" w:before="0" w:after="0"/>
        <w:jc w:val="both"/>
        <w:rPr>
          <w:rFonts w:ascii="Arial" w:hAnsi="Arial" w:eastAsia="Calibri" w:cs="Arial"/>
        </w:rPr>
      </w:pPr>
      <w:r>
        <w:rPr>
          <w:rFonts w:eastAsia="Calibri" w:cs="Arial" w:ascii="Arial" w:hAnsi="Arial"/>
        </w:rPr>
        <w:t>centralnym: Rada Ministrów, właściwy Minister, Główny Koordynator  „Programu Oczyszczania Kraju z Azbestu na lata 2009 – 2032”,</w:t>
      </w:r>
    </w:p>
    <w:p>
      <w:pPr>
        <w:pStyle w:val="Normal"/>
        <w:numPr>
          <w:ilvl w:val="0"/>
          <w:numId w:val="51"/>
        </w:numPr>
        <w:spacing w:lineRule="auto" w:line="360" w:before="0" w:after="0"/>
        <w:jc w:val="both"/>
        <w:rPr>
          <w:rFonts w:ascii="Arial" w:hAnsi="Arial" w:eastAsia="Calibri" w:cs="Arial"/>
        </w:rPr>
      </w:pPr>
      <w:r>
        <w:rPr>
          <w:rFonts w:eastAsia="Calibri" w:cs="Arial" w:ascii="Arial" w:hAnsi="Arial"/>
        </w:rPr>
        <w:t>wojewódzkim: wojewoda, samorząd województwa,</w:t>
      </w:r>
    </w:p>
    <w:p>
      <w:pPr>
        <w:pStyle w:val="Normal"/>
        <w:numPr>
          <w:ilvl w:val="0"/>
          <w:numId w:val="52"/>
        </w:numPr>
        <w:spacing w:lineRule="auto" w:line="360" w:before="0" w:after="0"/>
        <w:jc w:val="both"/>
        <w:rPr>
          <w:rStyle w:val="Strong"/>
          <w:rFonts w:ascii="Arial" w:hAnsi="Arial" w:eastAsia="Calibri" w:cs="Arial"/>
          <w:b w:val="false"/>
          <w:b w:val="false"/>
          <w:bCs w:val="false"/>
        </w:rPr>
      </w:pPr>
      <w:r>
        <w:rPr>
          <w:rFonts w:eastAsia="Calibri" w:cs="Arial" w:ascii="Arial" w:hAnsi="Arial"/>
        </w:rPr>
        <w:t xml:space="preserve">lokalnym: samorząd powiatowy, samorząd gminny.  </w:t>
      </w:r>
    </w:p>
    <w:p>
      <w:pPr>
        <w:pStyle w:val="Normal"/>
        <w:rPr>
          <w:rFonts w:ascii="Arial" w:hAnsi="Arial" w:cs="Arial"/>
        </w:rPr>
      </w:pPr>
      <w:r>
        <w:rPr>
          <w:rStyle w:val="Strong"/>
          <w:rFonts w:cs="Arial" w:ascii="Arial" w:hAnsi="Arial"/>
          <w:b w:val="false"/>
        </w:rPr>
        <w:t>Ponadto „Krajowy Program (…)” przewiduje:</w:t>
      </w:r>
    </w:p>
    <w:p>
      <w:pPr>
        <w:pStyle w:val="Normal"/>
        <w:numPr>
          <w:ilvl w:val="0"/>
          <w:numId w:val="41"/>
        </w:numPr>
        <w:spacing w:lineRule="auto" w:line="360" w:beforeAutospacing="1" w:after="0"/>
        <w:jc w:val="both"/>
        <w:rPr>
          <w:rFonts w:ascii="Arial" w:hAnsi="Arial" w:cs="Arial"/>
        </w:rPr>
      </w:pPr>
      <w:r>
        <w:rPr>
          <w:rFonts w:cs="Arial" w:ascii="Arial" w:hAnsi="Arial"/>
        </w:rPr>
        <w:t xml:space="preserve">do 2012 r. przeprowadzenie pełnej i rzetelnej inwentaryzacji oraz ustalenie rozmieszczenia terytorialnego azbestu i wyrobów zawierających azbest, </w:t>
      </w:r>
    </w:p>
    <w:p>
      <w:pPr>
        <w:pStyle w:val="Normal"/>
        <w:numPr>
          <w:ilvl w:val="0"/>
          <w:numId w:val="41"/>
        </w:numPr>
        <w:spacing w:lineRule="auto" w:line="360" w:before="0" w:after="0"/>
        <w:jc w:val="both"/>
        <w:rPr>
          <w:rFonts w:ascii="Arial" w:hAnsi="Arial" w:cs="Arial"/>
        </w:rPr>
      </w:pPr>
      <w:r>
        <w:rPr>
          <w:rFonts w:cs="Arial" w:ascii="Arial" w:hAnsi="Arial"/>
        </w:rPr>
        <w:t xml:space="preserve">utworzenie i uruchomienie elektronicznego Systemu Informacji Przestrzennej do monitoringu usuwania wyrobów zawierających azbest, </w:t>
      </w:r>
    </w:p>
    <w:p>
      <w:pPr>
        <w:pStyle w:val="Normal"/>
        <w:numPr>
          <w:ilvl w:val="0"/>
          <w:numId w:val="41"/>
        </w:numPr>
        <w:spacing w:lineRule="auto" w:line="360" w:before="0" w:after="0"/>
        <w:jc w:val="both"/>
        <w:rPr>
          <w:rFonts w:ascii="Arial" w:hAnsi="Arial" w:cs="Arial"/>
        </w:rPr>
      </w:pPr>
      <w:r>
        <w:rPr>
          <w:rFonts w:cs="Arial" w:ascii="Arial" w:hAnsi="Arial"/>
        </w:rPr>
        <w:t xml:space="preserve">podjęcie prac legislacyjnych umożliwiających egzekwowanie obowiązków nałożonych na podmioty fizyczne i prawne oraz zasilanie danymi elektronicznego systemu monitorowania realizacji „Krajowego Programu (...), </w:t>
      </w:r>
    </w:p>
    <w:p>
      <w:pPr>
        <w:pStyle w:val="Normal"/>
        <w:numPr>
          <w:ilvl w:val="0"/>
          <w:numId w:val="41"/>
        </w:numPr>
        <w:spacing w:lineRule="auto" w:line="360" w:before="0" w:after="0"/>
        <w:jc w:val="both"/>
        <w:rPr>
          <w:rFonts w:ascii="Arial" w:hAnsi="Arial" w:cs="Arial"/>
        </w:rPr>
      </w:pPr>
      <w:r>
        <w:rPr>
          <w:rFonts w:cs="Arial" w:ascii="Arial" w:hAnsi="Arial"/>
        </w:rPr>
        <w:t>zwiększenie zaangażowania administracji samorządowej, szczególnie gmin.</w:t>
      </w:r>
    </w:p>
    <w:p>
      <w:pPr>
        <w:pStyle w:val="Normal"/>
        <w:tabs>
          <w:tab w:val="left" w:pos="426" w:leader="none"/>
        </w:tabs>
        <w:spacing w:lineRule="auto" w:line="360" w:before="0" w:after="0"/>
        <w:ind w:firstLine="709"/>
        <w:jc w:val="both"/>
        <w:rPr>
          <w:rFonts w:ascii="Arial" w:hAnsi="Arial" w:eastAsia="Calibri" w:cs="Arial"/>
        </w:rPr>
      </w:pPr>
      <w:r>
        <w:rPr>
          <w:rFonts w:eastAsia="Calibri" w:cs="Arial" w:ascii="Arial" w:hAnsi="Arial"/>
        </w:rPr>
        <w:t xml:space="preserve">W celu realizacji zadań przewidzianych w „Krajowym Programie (…)” niezbędne jest zaangażowanie administracji publicznej wszystkich stopni oraz różnych instytucji na szczeblu krajowym, wojewódzkim i lokalnym. „Krajowy Program(…)" zakłada na poziomie lokalnym realizację zadań przy zaangażowaniu zarówno samorządów powiatowych jak i gminnych. Zgodnie z „Krajowym Programem (…) „ do kompetencji samorządów winno należeć: </w:t>
      </w:r>
    </w:p>
    <w:p>
      <w:pPr>
        <w:pStyle w:val="ListParagraph"/>
        <w:numPr>
          <w:ilvl w:val="0"/>
          <w:numId w:val="55"/>
        </w:numPr>
        <w:tabs>
          <w:tab w:val="left" w:pos="426" w:leader="none"/>
        </w:tabs>
        <w:spacing w:lineRule="auto" w:line="360" w:before="0" w:after="0"/>
        <w:contextualSpacing/>
        <w:jc w:val="both"/>
        <w:rPr>
          <w:rFonts w:ascii="Arial" w:hAnsi="Arial" w:eastAsia="Calibri" w:cs="Arial"/>
        </w:rPr>
      </w:pPr>
      <w:r>
        <w:rPr>
          <w:rFonts w:eastAsia="Calibri" w:cs="Arial" w:ascii="Arial" w:hAnsi="Arial"/>
        </w:rPr>
        <w:t>nadzorowanie realizacji Programu i wykorzystania przyznanych środków finansowych,</w:t>
      </w:r>
    </w:p>
    <w:p>
      <w:pPr>
        <w:pStyle w:val="ListParagraph"/>
        <w:numPr>
          <w:ilvl w:val="0"/>
          <w:numId w:val="55"/>
        </w:numPr>
        <w:tabs>
          <w:tab w:val="left" w:pos="426" w:leader="none"/>
        </w:tabs>
        <w:spacing w:lineRule="auto" w:line="360" w:before="0" w:after="0"/>
        <w:contextualSpacing/>
        <w:jc w:val="both"/>
        <w:rPr>
          <w:rFonts w:ascii="Arial" w:hAnsi="Arial" w:eastAsia="Calibri" w:cs="Arial"/>
        </w:rPr>
      </w:pPr>
      <w:r>
        <w:rPr>
          <w:rFonts w:eastAsia="Calibri" w:cs="Arial" w:ascii="Arial" w:hAnsi="Arial"/>
        </w:rPr>
        <w:t xml:space="preserve">prowadzenie lokalnej polityki społecznej w zakresie opłat za składowanie odpadów zawierających azbest, np. w stosunku do uboższych właścicieli obiektów – częściowe lub całkowite zwalnianie z opłat; </w:t>
      </w:r>
    </w:p>
    <w:p>
      <w:pPr>
        <w:pStyle w:val="ListParagraph"/>
        <w:numPr>
          <w:ilvl w:val="0"/>
          <w:numId w:val="55"/>
        </w:numPr>
        <w:tabs>
          <w:tab w:val="left" w:pos="426" w:leader="none"/>
        </w:tabs>
        <w:spacing w:lineRule="auto" w:line="360" w:before="0" w:after="0"/>
        <w:contextualSpacing/>
        <w:jc w:val="both"/>
        <w:rPr>
          <w:rFonts w:ascii="Arial" w:hAnsi="Arial" w:eastAsia="Calibri" w:cs="Arial"/>
        </w:rPr>
      </w:pPr>
      <w:r>
        <w:rPr>
          <w:rFonts w:eastAsia="Calibri" w:cs="Arial" w:ascii="Arial" w:hAnsi="Arial"/>
        </w:rPr>
        <w:t>inicjowanie i organizowanie innych form pomocy dla mieszkańców przy usuwaniu wyrobów zawierających azbest.</w:t>
      </w:r>
    </w:p>
    <w:p>
      <w:pPr>
        <w:pStyle w:val="ListParagraph"/>
        <w:spacing w:lineRule="auto" w:line="360" w:before="0" w:after="0"/>
        <w:ind w:left="0" w:firstLine="574"/>
        <w:contextualSpacing/>
        <w:jc w:val="both"/>
        <w:rPr>
          <w:rFonts w:ascii="Arial" w:hAnsi="Arial" w:cs="Arial"/>
          <w:color w:val="000000"/>
        </w:rPr>
      </w:pPr>
      <w:r>
        <w:rPr>
          <w:rFonts w:cs="Arial" w:ascii="Arial" w:hAnsi="Arial"/>
          <w:color w:val="000000"/>
        </w:rPr>
        <w:t>Niniejszy „Program…” usuwania azbestu uwzględnia stan wyjściowy, cel jego sporządzenia, określa kierunki działań i warianty służące osiągnięciu zaplanowanego celu, sposób postępowania z odpadami, a także przedstawia sposób monitorowania i wskaźniki oceny realizacji programu, dzięki czemu będzie możliwa kontrola wykonania zadań i zgodności z harmonogramem realizacji zadań.</w:t>
      </w:r>
    </w:p>
    <w:p>
      <w:pPr>
        <w:pStyle w:val="Normal"/>
        <w:spacing w:lineRule="auto" w:line="240" w:before="0" w:after="0"/>
        <w:rPr>
          <w:rFonts w:ascii="Arial" w:hAnsi="Arial" w:cs="Arial"/>
          <w:color w:val="000000"/>
        </w:rPr>
      </w:pPr>
      <w:r>
        <w:rPr>
          <w:rFonts w:cs="Arial" w:ascii="Arial" w:hAnsi="Arial"/>
          <w:color w:val="000000"/>
        </w:rPr>
      </w:r>
      <w:r>
        <w:br w:type="page"/>
      </w:r>
    </w:p>
    <w:p>
      <w:pPr>
        <w:pStyle w:val="Normal"/>
        <w:spacing w:lineRule="auto" w:line="360" w:before="0" w:after="0"/>
        <w:jc w:val="both"/>
        <w:rPr>
          <w:rFonts w:ascii="Arial" w:hAnsi="Arial" w:cs="Arial"/>
          <w:vanish/>
          <w:sz w:val="24"/>
          <w:szCs w:val="24"/>
        </w:rPr>
      </w:pPr>
      <w:r>
        <w:rPr>
          <w:rFonts w:cs="Arial" w:ascii="Arial" w:hAnsi="Arial"/>
          <w:vanish/>
          <w:sz w:val="24"/>
          <w:szCs w:val="24"/>
        </w:rPr>
      </w:r>
    </w:p>
    <w:p>
      <w:pPr>
        <w:pStyle w:val="ListParagraph"/>
        <w:numPr>
          <w:ilvl w:val="1"/>
          <w:numId w:val="1"/>
        </w:numPr>
        <w:jc w:val="both"/>
        <w:rPr>
          <w:rFonts w:ascii="Arial" w:hAnsi="Arial" w:cs="Arial"/>
          <w:vanish/>
          <w:sz w:val="24"/>
          <w:szCs w:val="24"/>
        </w:rPr>
      </w:pPr>
      <w:r>
        <w:rPr>
          <w:rFonts w:cs="Arial" w:ascii="Arial" w:hAnsi="Arial"/>
          <w:vanish/>
          <w:sz w:val="24"/>
          <w:szCs w:val="24"/>
        </w:rPr>
      </w:r>
    </w:p>
    <w:p>
      <w:pPr>
        <w:pStyle w:val="Nagwek2"/>
        <w:numPr>
          <w:ilvl w:val="1"/>
          <w:numId w:val="1"/>
        </w:numPr>
        <w:rPr/>
      </w:pPr>
      <w:bookmarkStart w:id="13" w:name="_Toc20296856"/>
      <w:r>
        <w:rPr/>
        <w:t>Ogólna charakterystyka Gminy Mrocza</w:t>
      </w:r>
      <w:bookmarkEnd w:id="13"/>
    </w:p>
    <w:p>
      <w:pPr>
        <w:pStyle w:val="Normal"/>
        <w:spacing w:lineRule="auto" w:line="360" w:before="0" w:after="0"/>
        <w:jc w:val="both"/>
        <w:rPr/>
      </w:pPr>
      <w:r>
        <w:rPr/>
      </w:r>
      <w:bookmarkStart w:id="14" w:name="_Toc394065387"/>
      <w:bookmarkStart w:id="15" w:name="_Toc394065387"/>
      <w:bookmarkEnd w:id="15"/>
    </w:p>
    <w:p>
      <w:pPr>
        <w:pStyle w:val="Normal"/>
        <w:spacing w:lineRule="auto" w:line="360"/>
        <w:jc w:val="both"/>
        <w:rPr>
          <w:rFonts w:ascii="Arial" w:hAnsi="Arial" w:eastAsia="Calibri" w:cs="Arial"/>
          <w:lang w:eastAsia="en-US"/>
        </w:rPr>
      </w:pPr>
      <w:r>
        <w:rPr>
          <w:rFonts w:eastAsia="Calibri" w:cs="Arial" w:ascii="Arial" w:hAnsi="Arial"/>
          <w:lang w:eastAsia="en-US"/>
        </w:rPr>
        <w:t xml:space="preserve">Gmina  Mrocza jest gminą miejsko-wiejską i   położona  jest  w  zachodniej  części  województwa  kujawsko-pomorskiego, w powiecie nakielskim i jest jedną z pięciu gmin powiatu. </w:t>
      </w:r>
    </w:p>
    <w:p>
      <w:pPr>
        <w:pStyle w:val="Normal"/>
        <w:spacing w:lineRule="auto" w:line="360"/>
        <w:jc w:val="both"/>
        <w:rPr>
          <w:rFonts w:ascii="Arial" w:hAnsi="Arial" w:eastAsia="Calibri" w:cs="Arial"/>
          <w:lang w:eastAsia="en-US"/>
        </w:rPr>
      </w:pPr>
      <w:r>
        <w:rPr>
          <w:rFonts w:eastAsia="Calibri" w:cs="Arial" w:ascii="Arial" w:hAnsi="Arial"/>
          <w:lang w:eastAsia="en-US"/>
        </w:rPr>
        <w:t xml:space="preserve">Gmina  zajmuje powierzchnię 150,71 km(w tym miasto zajmuje powierzchnię 4,32 km, a obszar wiejski – 146,39 km).  </w:t>
      </w:r>
    </w:p>
    <w:p>
      <w:pPr>
        <w:pStyle w:val="Normal"/>
        <w:spacing w:lineRule="auto" w:line="360"/>
        <w:jc w:val="both"/>
        <w:rPr>
          <w:rFonts w:ascii="Arial" w:hAnsi="Arial" w:eastAsia="Calibri" w:cs="Arial"/>
          <w:lang w:eastAsia="en-US"/>
        </w:rPr>
      </w:pPr>
      <w:r>
        <w:rPr>
          <w:rFonts w:eastAsia="Calibri" w:cs="Arial" w:ascii="Arial" w:hAnsi="Arial"/>
          <w:lang w:eastAsia="en-US"/>
        </w:rPr>
        <w:t xml:space="preserve">Gmina Mrocza jako jednostka administracyjna graniczy z następującymi gminami: </w:t>
      </w:r>
    </w:p>
    <w:p>
      <w:pPr>
        <w:pStyle w:val="Normal"/>
        <w:spacing w:lineRule="auto" w:line="360"/>
        <w:jc w:val="both"/>
        <w:rPr>
          <w:rFonts w:ascii="Arial" w:hAnsi="Arial" w:eastAsia="Calibri" w:cs="Arial"/>
          <w:lang w:eastAsia="en-US"/>
        </w:rPr>
      </w:pPr>
      <w:r>
        <w:rPr>
          <w:rFonts w:eastAsia="Calibri" w:cs="Arial" w:ascii="Arial" w:hAnsi="Arial"/>
          <w:lang w:eastAsia="en-US"/>
        </w:rPr>
        <w:t xml:space="preserve">−  </w:t>
      </w:r>
      <w:r>
        <w:rPr>
          <w:rFonts w:eastAsia="Calibri" w:cs="Arial" w:ascii="Arial" w:hAnsi="Arial"/>
          <w:lang w:eastAsia="en-US"/>
        </w:rPr>
        <w:t xml:space="preserve">na  zachodzie  –  z  Gminą  Łobżenica  z  powiatu  pilskiego  i  Gminą  Sadki </w:t>
      </w:r>
    </w:p>
    <w:p>
      <w:pPr>
        <w:pStyle w:val="Normal"/>
        <w:spacing w:lineRule="auto" w:line="360"/>
        <w:jc w:val="both"/>
        <w:rPr>
          <w:rFonts w:ascii="Arial" w:hAnsi="Arial" w:eastAsia="Calibri" w:cs="Arial"/>
          <w:lang w:eastAsia="en-US"/>
        </w:rPr>
      </w:pPr>
      <w:r>
        <w:rPr>
          <w:rFonts w:eastAsia="Calibri" w:cs="Arial" w:ascii="Arial" w:hAnsi="Arial"/>
          <w:lang w:eastAsia="en-US"/>
        </w:rPr>
        <w:t xml:space="preserve">z powiatu nakielskiego, </w:t>
      </w:r>
    </w:p>
    <w:p>
      <w:pPr>
        <w:pStyle w:val="Normal"/>
        <w:spacing w:lineRule="auto" w:line="360"/>
        <w:jc w:val="both"/>
        <w:rPr>
          <w:rFonts w:ascii="Arial" w:hAnsi="Arial" w:eastAsia="Calibri" w:cs="Arial"/>
          <w:lang w:eastAsia="en-US"/>
        </w:rPr>
      </w:pPr>
      <w:r>
        <w:rPr>
          <w:rFonts w:eastAsia="Calibri" w:cs="Arial" w:ascii="Arial" w:hAnsi="Arial"/>
          <w:lang w:eastAsia="en-US"/>
        </w:rPr>
        <w:t xml:space="preserve">−  </w:t>
      </w:r>
      <w:r>
        <w:rPr>
          <w:rFonts w:eastAsia="Calibri" w:cs="Arial" w:ascii="Arial" w:hAnsi="Arial"/>
          <w:lang w:eastAsia="en-US"/>
        </w:rPr>
        <w:t xml:space="preserve">na północy – z Gminą Więcbork i Gminą Sośno z powiatu sępoleńskiego, </w:t>
      </w:r>
    </w:p>
    <w:p>
      <w:pPr>
        <w:pStyle w:val="Normal"/>
        <w:spacing w:lineRule="auto" w:line="360"/>
        <w:jc w:val="both"/>
        <w:rPr>
          <w:rFonts w:ascii="Arial" w:hAnsi="Arial" w:eastAsia="Calibri" w:cs="Arial"/>
          <w:lang w:eastAsia="en-US"/>
        </w:rPr>
      </w:pPr>
      <w:r>
        <w:rPr>
          <w:rFonts w:eastAsia="Calibri" w:cs="Arial" w:ascii="Arial" w:hAnsi="Arial"/>
          <w:lang w:eastAsia="en-US"/>
        </w:rPr>
        <w:t xml:space="preserve">−  </w:t>
      </w:r>
      <w:r>
        <w:rPr>
          <w:rFonts w:eastAsia="Calibri" w:cs="Arial" w:ascii="Arial" w:hAnsi="Arial"/>
          <w:lang w:eastAsia="en-US"/>
        </w:rPr>
        <w:t xml:space="preserve">na wschodzie – z Gminą Sicienko z powiatu bydgoskiego, </w:t>
      </w:r>
    </w:p>
    <w:p>
      <w:pPr>
        <w:pStyle w:val="Normal"/>
        <w:spacing w:lineRule="auto" w:line="360"/>
        <w:jc w:val="both"/>
        <w:rPr>
          <w:rFonts w:ascii="Arial" w:hAnsi="Arial" w:eastAsia="Calibri" w:cs="Arial"/>
          <w:lang w:eastAsia="en-US"/>
        </w:rPr>
      </w:pPr>
      <w:r>
        <w:rPr>
          <w:rFonts w:eastAsia="Calibri" w:cs="Arial" w:ascii="Arial" w:hAnsi="Arial"/>
          <w:lang w:eastAsia="en-US"/>
        </w:rPr>
        <w:t xml:space="preserve">−  </w:t>
      </w:r>
      <w:r>
        <w:rPr>
          <w:rFonts w:eastAsia="Calibri" w:cs="Arial" w:ascii="Arial" w:hAnsi="Arial"/>
          <w:lang w:eastAsia="en-US"/>
        </w:rPr>
        <w:t>na południu - z Gminą Nakło nad Notecią z powiatu nakielskiego. Zajmuje powierzchnię 188,73 km</w:t>
      </w:r>
      <w:r>
        <w:rPr>
          <w:rFonts w:eastAsia="Calibri" w:cs="Arial" w:ascii="Arial" w:hAnsi="Arial"/>
          <w:vertAlign w:val="superscript"/>
          <w:lang w:eastAsia="en-US"/>
        </w:rPr>
        <w:t xml:space="preserve">2 </w:t>
      </w:r>
      <w:r>
        <w:rPr>
          <w:rFonts w:eastAsia="Calibri" w:cs="Arial" w:ascii="Arial" w:hAnsi="Arial"/>
          <w:lang w:eastAsia="en-US"/>
        </w:rPr>
        <w:t xml:space="preserve"> i jest zamieszkiwane przez 9 262 osoby</w:t>
      </w:r>
      <w:r>
        <w:rPr>
          <w:rStyle w:val="Zakotwiczenieprzypisudolnego"/>
          <w:rStyle w:val="Zakotwiczenieprzypisudolnego"/>
          <w:rFonts w:eastAsia="Calibri" w:cs="Arial" w:ascii="Arial" w:hAnsi="Arial"/>
          <w:lang w:eastAsia="en-US"/>
        </w:rPr>
        <w:footnoteReference w:id="2"/>
      </w:r>
      <w:r>
        <w:rPr>
          <w:rFonts w:eastAsia="Calibri" w:cs="Arial" w:ascii="Arial" w:hAnsi="Arial"/>
          <w:lang w:eastAsia="en-US"/>
        </w:rPr>
        <w:t xml:space="preserve">. </w:t>
      </w:r>
    </w:p>
    <w:p>
      <w:pPr>
        <w:pStyle w:val="Caption"/>
        <w:rPr>
          <w:sz w:val="20"/>
          <w:szCs w:val="20"/>
        </w:rPr>
      </w:pPr>
      <w:r>
        <w:rPr>
          <w:sz w:val="20"/>
          <w:szCs w:val="20"/>
        </w:rPr>
        <w:t xml:space="preserve">Rysunek </w:t>
      </w:r>
      <w:r>
        <w:rPr>
          <w:sz w:val="20"/>
          <w:szCs w:val="20"/>
        </w:rPr>
        <w:fldChar w:fldCharType="begin"/>
      </w:r>
      <w:r>
        <w:rPr>
          <w:sz w:val="20"/>
          <w:szCs w:val="20"/>
        </w:rPr>
        <w:instrText> SEQ Rysunek \* ARABIC </w:instrText>
      </w:r>
      <w:r>
        <w:rPr>
          <w:sz w:val="20"/>
          <w:szCs w:val="20"/>
        </w:rPr>
        <w:fldChar w:fldCharType="separate"/>
      </w:r>
      <w:r>
        <w:rPr>
          <w:sz w:val="20"/>
          <w:szCs w:val="20"/>
        </w:rPr>
        <w:t>1</w:t>
      </w:r>
      <w:r>
        <w:rPr>
          <w:sz w:val="20"/>
          <w:szCs w:val="20"/>
        </w:rPr>
        <w:fldChar w:fldCharType="end"/>
      </w:r>
      <w:r>
        <w:rPr>
          <w:sz w:val="20"/>
          <w:szCs w:val="20"/>
        </w:rPr>
        <w:t xml:space="preserve"> Usytuowanie gminy Mrocza na tle województwa kujawsko pomorskiego</w:t>
      </w:r>
      <w:bookmarkStart w:id="16" w:name="_Toc19785221"/>
      <w:bookmarkEnd w:id="16"/>
      <w:r>
        <w:rPr>
          <w:rStyle w:val="Zakotwiczenieprzypisudolnego"/>
          <w:rStyle w:val="Zakotwiczenieprzypisudolnego"/>
          <w:sz w:val="20"/>
          <w:szCs w:val="20"/>
        </w:rPr>
        <w:footnoteReference w:id="3"/>
      </w:r>
    </w:p>
    <w:p>
      <w:pPr>
        <w:pStyle w:val="Normal"/>
        <w:jc w:val="center"/>
        <w:rPr>
          <w:rFonts w:eastAsia="Calibri"/>
        </w:rPr>
      </w:pPr>
      <w:r>
        <w:rPr/>
        <w:drawing>
          <wp:inline distT="0" distB="0" distL="0" distR="0">
            <wp:extent cx="5234940" cy="3600450"/>
            <wp:effectExtent l="0" t="0" r="0" b="0"/>
            <wp:docPr id="3" name="Obraz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13" descr=""/>
                    <pic:cNvPicPr>
                      <a:picLocks noChangeAspect="1" noChangeArrowheads="1"/>
                    </pic:cNvPicPr>
                  </pic:nvPicPr>
                  <pic:blipFill>
                    <a:blip r:embed="rId4"/>
                    <a:stretch>
                      <a:fillRect/>
                    </a:stretch>
                  </pic:blipFill>
                  <pic:spPr bwMode="auto">
                    <a:xfrm>
                      <a:off x="0" y="0"/>
                      <a:ext cx="5234940" cy="3600450"/>
                    </a:xfrm>
                    <a:prstGeom prst="rect">
                      <a:avLst/>
                    </a:prstGeom>
                  </pic:spPr>
                </pic:pic>
              </a:graphicData>
            </a:graphic>
          </wp:inline>
        </w:drawing>
      </w:r>
    </w:p>
    <w:p>
      <w:pPr>
        <w:pStyle w:val="Nagwek1"/>
        <w:numPr>
          <w:ilvl w:val="1"/>
          <w:numId w:val="1"/>
        </w:numPr>
        <w:rPr>
          <w:sz w:val="24"/>
          <w:szCs w:val="24"/>
        </w:rPr>
      </w:pPr>
      <w:bookmarkStart w:id="17" w:name="_Toc20296857"/>
      <w:bookmarkStart w:id="18" w:name="_Toc3940653871"/>
      <w:bookmarkEnd w:id="18"/>
      <w:r>
        <w:rPr>
          <w:sz w:val="24"/>
          <w:szCs w:val="24"/>
        </w:rPr>
        <w:t>Cele i zadania „Programu..”</w:t>
      </w:r>
      <w:bookmarkStart w:id="19" w:name="_Toc117046013"/>
      <w:bookmarkStart w:id="20" w:name="_Toc197863481"/>
      <w:bookmarkStart w:id="21" w:name="_Toc197863630"/>
      <w:bookmarkStart w:id="22" w:name="_Toc197863663"/>
      <w:bookmarkStart w:id="23" w:name="_Toc274830163"/>
      <w:bookmarkEnd w:id="17"/>
    </w:p>
    <w:p>
      <w:pPr>
        <w:pStyle w:val="Normal"/>
        <w:spacing w:lineRule="auto" w:line="360"/>
        <w:jc w:val="both"/>
        <w:rPr>
          <w:rFonts w:ascii="Arial" w:hAnsi="Arial" w:cs="Arial"/>
        </w:rPr>
      </w:pPr>
      <w:r>
        <w:rPr>
          <w:rFonts w:cs="Arial" w:ascii="Arial" w:hAnsi="Arial"/>
        </w:rPr>
        <w:t>Nadrzędnym długoterminowym celem niniejszego „Programu" jest:</w:t>
      </w:r>
    </w:p>
    <w:p>
      <w:pPr>
        <w:pStyle w:val="Normal"/>
        <w:spacing w:lineRule="auto" w:line="360" w:before="0" w:after="0"/>
        <w:ind w:firstLine="709"/>
        <w:jc w:val="both"/>
        <w:rPr>
          <w:rFonts w:ascii="Arial" w:hAnsi="Arial" w:cs="Arial"/>
          <w:b/>
          <w:b/>
          <w:i/>
          <w:i/>
        </w:rPr>
      </w:pPr>
      <w:r>
        <w:rPr>
          <w:rFonts w:cs="Arial" w:ascii="Arial" w:hAnsi="Arial"/>
          <w:b/>
          <w:i/>
        </w:rPr>
        <w:t>Bezpieczne usunięcie i unieszkodliwienie  azbestu i wyrobów zawierających azbest z terenu Miasta i Gminy Mrocza, a przez to wyeliminowanie ich negatywnego oddziaływania na zdrowie ludzi  i środowisko naturalne.</w:t>
      </w:r>
    </w:p>
    <w:p>
      <w:pPr>
        <w:pStyle w:val="Normal"/>
        <w:spacing w:lineRule="auto" w:line="360" w:before="0" w:after="0"/>
        <w:ind w:firstLine="709"/>
        <w:jc w:val="both"/>
        <w:rPr>
          <w:rFonts w:ascii="Arial" w:hAnsi="Arial" w:cs="Arial"/>
        </w:rPr>
      </w:pPr>
      <w:r>
        <w:rPr>
          <w:rFonts w:cs="Arial" w:ascii="Arial" w:hAnsi="Arial"/>
        </w:rPr>
        <w:t>Cel ten pozostaje w ścisłej relacji z celami zdefiniowanymi w „Krajowym Programie (...)". Osiągnięcie tego celu będzie możliwe w perspektywie długoterminowej (okres ok.14 lat) poprzez usunięcie do 2032 roku z terenu gminy stosowanych od wielu lat wyrobów zawierających azbest.</w:t>
      </w:r>
    </w:p>
    <w:p>
      <w:pPr>
        <w:pStyle w:val="Normal"/>
        <w:spacing w:lineRule="auto" w:line="360" w:before="0" w:after="0"/>
        <w:ind w:firstLine="709"/>
        <w:jc w:val="both"/>
        <w:rPr>
          <w:rFonts w:ascii="Arial" w:hAnsi="Arial" w:cs="Arial"/>
        </w:rPr>
      </w:pPr>
      <w:r>
        <w:rPr>
          <w:rFonts w:cs="Arial" w:ascii="Arial" w:hAnsi="Arial"/>
        </w:rPr>
        <w:t>Ogólnym zadaniem przedmiotowego „Programu…” jest określenie warunków sukcesywnego usuwania wyrobów zawierających azbest. Zatem w „Programie…” ujęto zagadnienia:</w:t>
      </w:r>
    </w:p>
    <w:p>
      <w:pPr>
        <w:pStyle w:val="Normal"/>
        <w:numPr>
          <w:ilvl w:val="0"/>
          <w:numId w:val="60"/>
        </w:numPr>
        <w:spacing w:lineRule="auto" w:line="360" w:before="0" w:after="0"/>
        <w:ind w:left="1134" w:hanging="425"/>
        <w:jc w:val="both"/>
        <w:rPr>
          <w:rFonts w:ascii="Arial" w:hAnsi="Arial" w:cs="Arial"/>
        </w:rPr>
      </w:pPr>
      <w:r>
        <w:rPr>
          <w:rFonts w:cs="Arial" w:ascii="Arial" w:hAnsi="Arial"/>
        </w:rPr>
        <w:t xml:space="preserve">edukacji poprzez informowanie społeczeństwa gminy o szkodliwości azbestu, obowiązkach dotyczących postępowania z wyrobami zawierającymi azbest oraz </w:t>
        <w:br/>
        <w:t>o sposobach bezpiecznego ich usuwania oraz unieszkodliwiania,</w:t>
      </w:r>
    </w:p>
    <w:p>
      <w:pPr>
        <w:pStyle w:val="Normal"/>
        <w:numPr>
          <w:ilvl w:val="0"/>
          <w:numId w:val="60"/>
        </w:numPr>
        <w:spacing w:lineRule="auto" w:line="360" w:before="0" w:after="0"/>
        <w:ind w:left="1134" w:hanging="425"/>
        <w:jc w:val="both"/>
        <w:rPr>
          <w:rFonts w:ascii="Arial" w:hAnsi="Arial" w:cs="Arial"/>
        </w:rPr>
      </w:pPr>
      <w:r>
        <w:rPr>
          <w:rFonts w:cs="Arial" w:ascii="Arial" w:hAnsi="Arial"/>
        </w:rPr>
        <w:t>współpracy z lokalnymi mediami oraz organizacjami społecznymi,</w:t>
      </w:r>
    </w:p>
    <w:p>
      <w:pPr>
        <w:pStyle w:val="Normal"/>
        <w:numPr>
          <w:ilvl w:val="0"/>
          <w:numId w:val="60"/>
        </w:numPr>
        <w:spacing w:lineRule="auto" w:line="360" w:before="0" w:after="0"/>
        <w:ind w:left="1134" w:hanging="425"/>
        <w:jc w:val="both"/>
        <w:rPr>
          <w:rFonts w:ascii="Arial" w:hAnsi="Arial" w:cs="Arial"/>
        </w:rPr>
      </w:pPr>
      <w:r>
        <w:rPr>
          <w:rFonts w:cs="Arial" w:ascii="Arial" w:hAnsi="Arial"/>
        </w:rPr>
        <w:t>podejmowania w miarę potrzeby odpowiednich działań administracyjnych</w:t>
        <w:br/>
        <w:t>w stosunku do właścicieli lub zarządców obiektów szczególnie zagrożonych,</w:t>
      </w:r>
    </w:p>
    <w:p>
      <w:pPr>
        <w:pStyle w:val="Normal"/>
        <w:numPr>
          <w:ilvl w:val="0"/>
          <w:numId w:val="60"/>
        </w:numPr>
        <w:spacing w:lineRule="auto" w:line="360" w:before="0" w:after="0"/>
        <w:ind w:left="1134" w:hanging="425"/>
        <w:jc w:val="both"/>
        <w:rPr>
          <w:rFonts w:ascii="Arial" w:hAnsi="Arial" w:cs="Arial"/>
        </w:rPr>
      </w:pPr>
      <w:r>
        <w:rPr>
          <w:rFonts w:cs="Arial" w:ascii="Arial" w:hAnsi="Arial"/>
        </w:rPr>
        <w:t>współpracy z wojewodą, samorządem województwa w zakresie zadań wynikających z „Programu Oczyszczania Kraju z Azbestu na lata 2009 – 2032” przyjętego przez Radę Ministrów Rzeczypospolitej Polskiej w dniu 15 marca 2010r.,</w:t>
      </w:r>
    </w:p>
    <w:p>
      <w:pPr>
        <w:pStyle w:val="Normal"/>
        <w:numPr>
          <w:ilvl w:val="0"/>
          <w:numId w:val="60"/>
        </w:numPr>
        <w:spacing w:lineRule="auto" w:line="360" w:before="0" w:after="0"/>
        <w:ind w:left="1134" w:hanging="425"/>
        <w:jc w:val="both"/>
        <w:rPr>
          <w:rFonts w:ascii="Arial" w:hAnsi="Arial" w:cs="Arial"/>
        </w:rPr>
      </w:pPr>
      <w:r>
        <w:rPr>
          <w:rFonts w:cs="Arial" w:ascii="Arial" w:hAnsi="Arial"/>
        </w:rPr>
        <w:t>pozyskania środków na bezpieczną likwidację wyrobów zawierających azbest,</w:t>
      </w:r>
    </w:p>
    <w:p>
      <w:pPr>
        <w:pStyle w:val="Normal"/>
        <w:numPr>
          <w:ilvl w:val="0"/>
          <w:numId w:val="60"/>
        </w:numPr>
        <w:spacing w:lineRule="auto" w:line="360" w:before="0" w:after="0"/>
        <w:ind w:left="1134" w:hanging="425"/>
        <w:jc w:val="both"/>
        <w:rPr>
          <w:rFonts w:ascii="Arial" w:hAnsi="Arial" w:cs="Arial"/>
        </w:rPr>
      </w:pPr>
      <w:r>
        <w:rPr>
          <w:rFonts w:cs="Arial" w:ascii="Arial" w:hAnsi="Arial"/>
        </w:rPr>
        <w:t>współpracy z przedsiębiorstwami zajmującymi się usuwaniem wyrobów zawierających azbest.</w:t>
      </w:r>
    </w:p>
    <w:p>
      <w:pPr>
        <w:pStyle w:val="Normal"/>
        <w:spacing w:lineRule="auto" w:line="360" w:before="0" w:after="0"/>
        <w:ind w:firstLine="709"/>
        <w:jc w:val="both"/>
        <w:rPr>
          <w:rFonts w:ascii="Arial" w:hAnsi="Arial" w:cs="Arial"/>
        </w:rPr>
      </w:pPr>
      <w:r>
        <w:rPr>
          <w:rFonts w:cs="Arial" w:ascii="Arial" w:hAnsi="Arial"/>
        </w:rPr>
        <w:t>Niniejszy Program ma charakter lokalny, jest jednak spójny z założeniami ogólnopolskiego programu. Zakłada on realizację następujących zadań:</w:t>
      </w:r>
    </w:p>
    <w:p>
      <w:pPr>
        <w:pStyle w:val="Normal"/>
        <w:numPr>
          <w:ilvl w:val="0"/>
          <w:numId w:val="61"/>
        </w:numPr>
        <w:spacing w:lineRule="auto" w:line="360" w:before="0" w:after="0"/>
        <w:jc w:val="both"/>
        <w:rPr>
          <w:rFonts w:ascii="Arial" w:hAnsi="Arial" w:cs="Arial"/>
          <w:bCs/>
        </w:rPr>
      </w:pPr>
      <w:r>
        <w:rPr>
          <w:rFonts w:cs="Arial" w:ascii="Arial" w:hAnsi="Arial"/>
          <w:bCs/>
        </w:rPr>
        <w:t>bieżące aktualizowanie bazy danych o azbeście i wyrobach zwierających azbest znajdujących się na terenie gminy (poprzez internetowe narzędzie Bazy Azbestowej prowadzonej przez Ministerstwo Przedsiębiorczości i Technologii</w:t>
      </w:r>
      <w:r>
        <w:rPr>
          <w:rStyle w:val="Zakotwiczenieprzypisudolnego"/>
          <w:rStyle w:val="Zakotwiczenieprzypisudolnego"/>
          <w:rFonts w:cs="Arial" w:ascii="Arial" w:hAnsi="Arial"/>
          <w:bCs/>
        </w:rPr>
        <w:footnoteReference w:id="4"/>
      </w:r>
      <w:r>
        <w:rPr>
          <w:rFonts w:cs="Arial" w:ascii="Arial" w:hAnsi="Arial"/>
          <w:bCs/>
        </w:rPr>
        <w:t>)</w:t>
      </w:r>
    </w:p>
    <w:p>
      <w:pPr>
        <w:pStyle w:val="Normal"/>
        <w:numPr>
          <w:ilvl w:val="0"/>
          <w:numId w:val="61"/>
        </w:numPr>
        <w:spacing w:lineRule="auto" w:line="360" w:before="0" w:after="0"/>
        <w:jc w:val="both"/>
        <w:rPr>
          <w:rFonts w:ascii="Arial" w:hAnsi="Arial" w:cs="Arial"/>
          <w:b/>
          <w:b/>
          <w:bCs/>
        </w:rPr>
      </w:pPr>
      <w:r>
        <w:rPr>
          <w:rFonts w:cs="Arial" w:ascii="Arial" w:hAnsi="Arial"/>
        </w:rPr>
        <w:t>edukację mieszkańców w zakresie szkodliwości azbestu, obowiązków dotyczących postępowania z wyrobami zawierającymi azbest oraz sposobów bezpiecznego ich usuwania oraz unieszkodliwiania;</w:t>
      </w:r>
    </w:p>
    <w:p>
      <w:pPr>
        <w:pStyle w:val="Normal"/>
        <w:numPr>
          <w:ilvl w:val="0"/>
          <w:numId w:val="61"/>
        </w:numPr>
        <w:spacing w:lineRule="auto" w:line="360" w:before="0" w:after="0"/>
        <w:jc w:val="both"/>
        <w:rPr>
          <w:rFonts w:ascii="Arial" w:hAnsi="Arial" w:cs="Arial"/>
        </w:rPr>
      </w:pPr>
      <w:r>
        <w:rPr>
          <w:rFonts w:cs="Arial" w:ascii="Arial" w:hAnsi="Arial"/>
        </w:rPr>
        <w:t>podjęcie działań w kierunku pozyskania funduszy ze źródeł zewnętrznych na realizację „Programu…”;</w:t>
      </w:r>
    </w:p>
    <w:p>
      <w:pPr>
        <w:pStyle w:val="Normal"/>
        <w:numPr>
          <w:ilvl w:val="0"/>
          <w:numId w:val="61"/>
        </w:numPr>
        <w:spacing w:lineRule="auto" w:line="360" w:before="0" w:after="0"/>
        <w:jc w:val="both"/>
        <w:rPr>
          <w:rFonts w:ascii="Arial" w:hAnsi="Arial" w:cs="Arial"/>
        </w:rPr>
      </w:pPr>
      <w:r>
        <w:rPr>
          <w:rFonts w:cs="Arial" w:ascii="Arial" w:hAnsi="Arial"/>
        </w:rPr>
        <w:t>udzielanie dofinasowania do demontażu, odbioru i unieszkodliwienia odpadów azbestowych zgodnie z przyjętymi przez Gminę zasadami;</w:t>
      </w:r>
    </w:p>
    <w:p>
      <w:pPr>
        <w:pStyle w:val="Normal"/>
        <w:numPr>
          <w:ilvl w:val="0"/>
          <w:numId w:val="61"/>
        </w:numPr>
        <w:spacing w:lineRule="auto" w:line="360" w:before="0" w:after="0"/>
        <w:jc w:val="both"/>
        <w:rPr>
          <w:rFonts w:ascii="Arial" w:hAnsi="Arial" w:cs="Arial"/>
        </w:rPr>
      </w:pPr>
      <w:r>
        <w:rPr>
          <w:rFonts w:cs="Arial" w:ascii="Arial" w:hAnsi="Arial"/>
        </w:rPr>
        <w:t>bieżący monitoring realizacji „Programu…” i okresowe raportowanie jego realizacji władzom oraz mieszkańcom;</w:t>
      </w:r>
    </w:p>
    <w:p>
      <w:pPr>
        <w:pStyle w:val="Normal"/>
        <w:numPr>
          <w:ilvl w:val="0"/>
          <w:numId w:val="61"/>
        </w:numPr>
        <w:spacing w:lineRule="auto" w:line="360" w:before="0" w:after="0"/>
        <w:jc w:val="both"/>
        <w:rPr>
          <w:rFonts w:ascii="Arial" w:hAnsi="Arial" w:cs="Arial"/>
        </w:rPr>
      </w:pPr>
      <w:r>
        <w:rPr>
          <w:rFonts w:cs="Arial" w:ascii="Arial" w:hAnsi="Arial"/>
        </w:rPr>
        <w:t>okresową weryfikację i aktualizacją zapisów „Programu…”,</w:t>
      </w:r>
    </w:p>
    <w:p>
      <w:pPr>
        <w:pStyle w:val="Normal"/>
        <w:numPr>
          <w:ilvl w:val="0"/>
          <w:numId w:val="61"/>
        </w:numPr>
        <w:spacing w:lineRule="auto" w:line="360" w:before="0" w:after="0"/>
        <w:jc w:val="both"/>
        <w:rPr>
          <w:rFonts w:ascii="Arial" w:hAnsi="Arial" w:cs="Arial"/>
        </w:rPr>
      </w:pPr>
      <w:r>
        <w:rPr>
          <w:rFonts w:cs="Arial" w:ascii="Arial" w:hAnsi="Arial"/>
        </w:rPr>
        <w:t>wprowadzenie szkoleń z zakresu szkodliwości azbestu, obowiązków dotyczących postępowania z wyrobami zawierającymi azbest oraz sposobów bezpiecznego ich usuwania;</w:t>
      </w:r>
    </w:p>
    <w:p>
      <w:pPr>
        <w:pStyle w:val="Normal"/>
        <w:numPr>
          <w:ilvl w:val="0"/>
          <w:numId w:val="61"/>
        </w:numPr>
        <w:spacing w:lineRule="auto" w:line="360" w:before="0" w:after="0"/>
        <w:jc w:val="both"/>
        <w:rPr>
          <w:rFonts w:ascii="Arial" w:hAnsi="Arial" w:cs="Arial"/>
        </w:rPr>
      </w:pPr>
      <w:r>
        <w:rPr>
          <w:rFonts w:cs="Arial" w:ascii="Arial" w:hAnsi="Arial"/>
        </w:rPr>
        <w:t>analiza oddziaływania zapisów „Programu…” na środowisko;</w:t>
      </w:r>
    </w:p>
    <w:p>
      <w:pPr>
        <w:pStyle w:val="Caption"/>
        <w:rPr/>
      </w:pPr>
      <w:r>
        <w:rPr/>
      </w:r>
    </w:p>
    <w:p>
      <w:pPr>
        <w:pStyle w:val="Normal"/>
        <w:spacing w:lineRule="auto" w:line="360"/>
        <w:ind w:left="360" w:hanging="360"/>
        <w:jc w:val="both"/>
        <w:rPr>
          <w:rFonts w:ascii="Arial" w:hAnsi="Arial" w:cs="Arial"/>
        </w:rPr>
      </w:pPr>
      <w:r>
        <w:rPr>
          <w:rFonts w:cs="Arial" w:ascii="Arial" w:hAnsi="Arial"/>
        </w:rPr>
        <w:t>Cele i zadania zostały sprecyzowane w rozdziale 5.</w:t>
      </w:r>
    </w:p>
    <w:p>
      <w:pPr>
        <w:pStyle w:val="Normal"/>
        <w:spacing w:lineRule="auto" w:line="240" w:before="0" w:after="0"/>
        <w:rPr>
          <w:rFonts w:ascii="Arial" w:hAnsi="Arial" w:cs="Arial"/>
        </w:rPr>
      </w:pPr>
      <w:r>
        <w:rPr>
          <w:rFonts w:cs="Arial" w:ascii="Arial" w:hAnsi="Arial"/>
        </w:rPr>
      </w:r>
      <w:r>
        <w:br w:type="page"/>
      </w:r>
    </w:p>
    <w:p>
      <w:pPr>
        <w:pStyle w:val="Nagwek2"/>
        <w:jc w:val="both"/>
        <w:rPr>
          <w:rFonts w:cs="Arial"/>
        </w:rPr>
      </w:pPr>
      <w:bookmarkStart w:id="24" w:name="_Toc20296858"/>
      <w:r>
        <w:rPr/>
        <w:t xml:space="preserve">1.4. Opis zawartości dokumentu </w:t>
      </w:r>
      <w:bookmarkEnd w:id="19"/>
      <w:bookmarkEnd w:id="20"/>
      <w:bookmarkEnd w:id="21"/>
      <w:bookmarkEnd w:id="22"/>
      <w:bookmarkEnd w:id="23"/>
      <w:r>
        <w:rPr/>
        <w:t xml:space="preserve">pt. </w:t>
      </w:r>
      <w:bookmarkStart w:id="25" w:name="_Hlk529441987"/>
      <w:r>
        <w:rPr/>
        <w:t>„Program usuwania azbestu dla Miasta i Gminy Mrocza”</w:t>
      </w:r>
      <w:bookmarkEnd w:id="24"/>
      <w:bookmarkEnd w:id="25"/>
    </w:p>
    <w:p>
      <w:pPr>
        <w:pStyle w:val="Normal"/>
        <w:spacing w:lineRule="auto" w:line="360" w:before="0" w:after="0"/>
        <w:ind w:firstLine="709"/>
        <w:jc w:val="both"/>
        <w:rPr>
          <w:rFonts w:ascii="Arial" w:hAnsi="Arial" w:cs="Arial"/>
        </w:rPr>
      </w:pPr>
      <w:r>
        <w:rPr>
          <w:rFonts w:cs="Arial" w:ascii="Arial" w:hAnsi="Arial"/>
        </w:rPr>
      </w:r>
    </w:p>
    <w:p>
      <w:pPr>
        <w:pStyle w:val="Normal"/>
        <w:spacing w:lineRule="auto" w:line="360" w:before="0" w:after="0"/>
        <w:ind w:firstLine="709"/>
        <w:jc w:val="both"/>
        <w:rPr>
          <w:rFonts w:ascii="Arial" w:hAnsi="Arial" w:cs="Arial"/>
        </w:rPr>
      </w:pPr>
      <w:r>
        <w:rPr>
          <w:rFonts w:cs="Arial" w:ascii="Arial" w:hAnsi="Arial"/>
        </w:rPr>
        <w:t>Zgodnie z wytycznymi dotyczącymi przygotowania programów w zakresie usuwania azbestu i wyrobów zawierających azbest niniejszy dokument zawiera:</w:t>
      </w:r>
    </w:p>
    <w:p>
      <w:pPr>
        <w:pStyle w:val="Normal"/>
        <w:tabs>
          <w:tab w:val="left" w:pos="9356" w:leader="none"/>
        </w:tabs>
        <w:spacing w:lineRule="auto" w:line="360" w:before="0" w:after="0"/>
        <w:jc w:val="both"/>
        <w:rPr>
          <w:rFonts w:ascii="Arial" w:hAnsi="Arial" w:cs="Arial"/>
        </w:rPr>
      </w:pPr>
      <w:r>
        <w:rPr/>
        <w:drawing>
          <wp:inline distT="0" distB="0" distL="0" distR="0" wp14:anchorId="197F0050">
            <wp:extent cx="5650865" cy="6022340"/>
            <wp:effectExtent l="76200" t="38100" r="104775" b="114300"/>
            <wp:docPr id="4" name="Diagram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 r:lo="rId6" r:qs="rId7" r:cs="rId8"/>
              </a:graphicData>
            </a:graphic>
          </wp:inline>
        </w:drawing>
      </w:r>
    </w:p>
    <w:p>
      <w:pPr>
        <w:pStyle w:val="Normal"/>
        <w:spacing w:lineRule="auto" w:line="240" w:before="0" w:after="0"/>
        <w:rPr>
          <w:rFonts w:ascii="Arial" w:hAnsi="Arial"/>
          <w:b/>
          <w:b/>
          <w:bCs/>
          <w:kern w:val="2"/>
          <w:sz w:val="28"/>
          <w:szCs w:val="32"/>
          <w:highlight w:val="lightGray"/>
        </w:rPr>
      </w:pPr>
      <w:r>
        <w:rPr>
          <w:rFonts w:ascii="Arial" w:hAnsi="Arial"/>
          <w:b/>
          <w:bCs/>
          <w:kern w:val="2"/>
          <w:sz w:val="28"/>
          <w:szCs w:val="32"/>
          <w:highlight w:val="lightGray"/>
        </w:rPr>
      </w:r>
      <w:r>
        <w:br w:type="page"/>
      </w:r>
    </w:p>
    <w:p>
      <w:pPr>
        <w:pStyle w:val="Nagwek1"/>
        <w:numPr>
          <w:ilvl w:val="0"/>
          <w:numId w:val="1"/>
        </w:numPr>
        <w:rPr/>
      </w:pPr>
      <w:bookmarkStart w:id="26" w:name="_Toc20296859"/>
      <w:r>
        <w:rPr/>
        <w:t>CHARAKTERYSTYKA WYROBÓW ZAWIERAJĄCYCH AZBEST I ODDZIAŁYWANIE AZBESTU NA ZDROWIE CZŁOWIEKA</w:t>
      </w:r>
      <w:bookmarkEnd w:id="26"/>
    </w:p>
    <w:p>
      <w:pPr>
        <w:pStyle w:val="Nagwek2"/>
        <w:rPr/>
      </w:pPr>
      <w:bookmarkStart w:id="27" w:name="_Toc20296860"/>
      <w:r>
        <w:rPr/>
        <w:t>2.1. Występowanie i zastosowanie azbestu</w:t>
      </w:r>
      <w:bookmarkEnd w:id="27"/>
    </w:p>
    <w:p>
      <w:pPr>
        <w:pStyle w:val="Normal"/>
        <w:jc w:val="both"/>
        <w:rPr>
          <w:rFonts w:ascii="Arial" w:hAnsi="Arial" w:cs="Arial"/>
        </w:rPr>
      </w:pPr>
      <w:r>
        <w:rPr>
          <w:rFonts w:cs="Arial" w:ascii="Arial" w:hAnsi="Arial"/>
        </w:rPr>
      </w:r>
    </w:p>
    <w:p>
      <w:pPr>
        <w:pStyle w:val="Normal"/>
        <w:tabs>
          <w:tab w:val="left" w:pos="426" w:leader="none"/>
        </w:tabs>
        <w:spacing w:lineRule="auto" w:line="360" w:before="0" w:after="0"/>
        <w:ind w:firstLine="709"/>
        <w:jc w:val="both"/>
        <w:rPr>
          <w:rFonts w:ascii="Arial" w:hAnsi="Arial" w:cs="Arial"/>
        </w:rPr>
      </w:pPr>
      <w:r>
        <w:rPr>
          <w:rFonts w:cs="Arial" w:ascii="Arial" w:hAnsi="Arial"/>
        </w:rPr>
        <w:t xml:space="preserve">Azbest jest nazwą handlową odnoszącą się do sześciu minerałów włóknistych. Pod względem chemicznym są to uwodnione krzemiany magnezu, żelaza, wapnia i sodu. Rozróżnia się następujące typy azbestu: chryzotyl (włóknista odmiana serpentynitu, </w:t>
        <w:br/>
        <w:t>tj. uwodnionego krzemianu magnezu), amozyt (krzemian żelazowo-magnezowy), krokidolit (krzemian sodowo-żelazowy), antofilit (krzemian magnezowy zawierający żelazo).</w:t>
      </w:r>
    </w:p>
    <w:p>
      <w:pPr>
        <w:pStyle w:val="Normal"/>
        <w:spacing w:lineRule="auto" w:line="360" w:before="0" w:after="0"/>
        <w:ind w:firstLine="709"/>
        <w:jc w:val="both"/>
        <w:rPr>
          <w:rFonts w:ascii="Arial" w:hAnsi="Arial" w:cs="Arial"/>
        </w:rPr>
      </w:pPr>
      <w:r>
        <w:rPr>
          <w:rFonts w:cs="Arial" w:ascii="Arial" w:hAnsi="Arial"/>
        </w:rPr>
        <w:t>Pomimo, iż występowanie azbestu w przyrodzie jest dosyć powszechne, tylko w kilku miejscach na świecie prowadzona była jego eksploatacja na skalę przemysłową. Polska nie posiada złóż azbestu nadających się do eksploatacji przemysłowej.</w:t>
      </w:r>
    </w:p>
    <w:p>
      <w:pPr>
        <w:pStyle w:val="Normal"/>
        <w:spacing w:lineRule="auto" w:line="360" w:before="0" w:after="0"/>
        <w:ind w:firstLine="709"/>
        <w:jc w:val="both"/>
        <w:rPr>
          <w:rFonts w:ascii="Arial" w:hAnsi="Arial" w:cs="Arial"/>
        </w:rPr>
      </w:pPr>
      <w:r>
        <w:rPr>
          <w:rFonts w:cs="Arial" w:ascii="Arial" w:hAnsi="Arial"/>
        </w:rPr>
        <w:t>Azbest posiada szczególne właściwości fizyczno – chemiczne, które sprawiły, że znalazł on zastosowanie w produkcji wielu elementów. Do tych właściwości należą:</w:t>
      </w:r>
    </w:p>
    <w:p>
      <w:pPr>
        <w:pStyle w:val="ListParagraph"/>
        <w:numPr>
          <w:ilvl w:val="0"/>
          <w:numId w:val="49"/>
        </w:numPr>
        <w:spacing w:lineRule="auto" w:line="360" w:before="0" w:after="0"/>
        <w:contextualSpacing/>
        <w:jc w:val="both"/>
        <w:rPr>
          <w:rFonts w:ascii="Arial" w:hAnsi="Arial" w:cs="Arial"/>
        </w:rPr>
      </w:pPr>
      <w:r>
        <w:rPr>
          <w:rFonts w:cs="Arial" w:ascii="Arial" w:hAnsi="Arial"/>
        </w:rPr>
        <w:t xml:space="preserve">odporność na wysoką temperaturę, </w:t>
      </w:r>
    </w:p>
    <w:p>
      <w:pPr>
        <w:pStyle w:val="ListParagraph"/>
        <w:numPr>
          <w:ilvl w:val="0"/>
          <w:numId w:val="49"/>
        </w:numPr>
        <w:spacing w:lineRule="auto" w:line="360" w:before="0" w:after="0"/>
        <w:contextualSpacing/>
        <w:jc w:val="both"/>
        <w:rPr>
          <w:rFonts w:ascii="Arial" w:hAnsi="Arial" w:cs="Arial"/>
        </w:rPr>
      </w:pPr>
      <w:r>
        <w:rPr>
          <w:rFonts w:cs="Arial" w:ascii="Arial" w:hAnsi="Arial"/>
        </w:rPr>
        <w:t xml:space="preserve">odporność na chemikalia, kwasy, zasady, wodę morską, </w:t>
      </w:r>
    </w:p>
    <w:p>
      <w:pPr>
        <w:pStyle w:val="ListParagraph"/>
        <w:numPr>
          <w:ilvl w:val="0"/>
          <w:numId w:val="49"/>
        </w:numPr>
        <w:spacing w:lineRule="auto" w:line="360" w:before="0" w:after="0"/>
        <w:contextualSpacing/>
        <w:jc w:val="both"/>
        <w:rPr>
          <w:rFonts w:ascii="Arial" w:hAnsi="Arial" w:cs="Arial"/>
        </w:rPr>
      </w:pPr>
      <w:r>
        <w:rPr>
          <w:rFonts w:cs="Arial" w:ascii="Arial" w:hAnsi="Arial"/>
        </w:rPr>
        <w:t xml:space="preserve">odporność na ścieranie, </w:t>
      </w:r>
    </w:p>
    <w:p>
      <w:pPr>
        <w:pStyle w:val="ListParagraph"/>
        <w:numPr>
          <w:ilvl w:val="0"/>
          <w:numId w:val="49"/>
        </w:numPr>
        <w:spacing w:lineRule="auto" w:line="360" w:before="0" w:after="0"/>
        <w:contextualSpacing/>
        <w:jc w:val="both"/>
        <w:rPr>
          <w:rFonts w:ascii="Arial" w:hAnsi="Arial" w:cs="Arial"/>
        </w:rPr>
      </w:pPr>
      <w:r>
        <w:rPr>
          <w:rFonts w:cs="Arial" w:ascii="Arial" w:hAnsi="Arial"/>
        </w:rPr>
        <w:t xml:space="preserve">duża sprężystość i wytrzymałość mechaniczna, </w:t>
      </w:r>
    </w:p>
    <w:p>
      <w:pPr>
        <w:pStyle w:val="ListParagraph"/>
        <w:numPr>
          <w:ilvl w:val="0"/>
          <w:numId w:val="49"/>
        </w:numPr>
        <w:spacing w:lineRule="auto" w:line="360" w:before="0" w:after="0"/>
        <w:contextualSpacing/>
        <w:jc w:val="both"/>
        <w:rPr>
          <w:rFonts w:ascii="Arial" w:hAnsi="Arial" w:cs="Arial"/>
        </w:rPr>
      </w:pPr>
      <w:r>
        <w:rPr>
          <w:rFonts w:cs="Arial" w:ascii="Arial" w:hAnsi="Arial"/>
        </w:rPr>
        <w:t xml:space="preserve">elastyczność, </w:t>
      </w:r>
    </w:p>
    <w:p>
      <w:pPr>
        <w:pStyle w:val="ListParagraph"/>
        <w:numPr>
          <w:ilvl w:val="0"/>
          <w:numId w:val="49"/>
        </w:numPr>
        <w:spacing w:lineRule="auto" w:line="360" w:before="0" w:after="0"/>
        <w:contextualSpacing/>
        <w:jc w:val="both"/>
        <w:rPr>
          <w:rFonts w:ascii="Arial" w:hAnsi="Arial" w:cs="Arial"/>
        </w:rPr>
      </w:pPr>
      <w:r>
        <w:rPr>
          <w:rFonts w:cs="Arial" w:ascii="Arial" w:hAnsi="Arial"/>
        </w:rPr>
        <w:t>izolacja termiczna i elektryczna,</w:t>
      </w:r>
    </w:p>
    <w:p>
      <w:pPr>
        <w:pStyle w:val="ListParagraph"/>
        <w:numPr>
          <w:ilvl w:val="0"/>
          <w:numId w:val="49"/>
        </w:numPr>
        <w:spacing w:lineRule="auto" w:line="360" w:before="0" w:after="0"/>
        <w:contextualSpacing/>
        <w:jc w:val="both"/>
        <w:rPr>
          <w:rFonts w:ascii="Arial" w:hAnsi="Arial" w:cs="Arial"/>
        </w:rPr>
      </w:pPr>
      <w:r>
        <w:rPr>
          <w:rFonts w:cs="Arial" w:ascii="Arial" w:hAnsi="Arial"/>
        </w:rPr>
        <w:t>słabe przewodnictwo ciepła.</w:t>
      </w:r>
    </w:p>
    <w:p>
      <w:pPr>
        <w:pStyle w:val="Normal"/>
        <w:spacing w:lineRule="auto" w:line="360" w:before="0" w:after="0"/>
        <w:ind w:firstLine="709"/>
        <w:jc w:val="both"/>
        <w:rPr>
          <w:rFonts w:ascii="Arial" w:hAnsi="Arial" w:cs="Arial"/>
        </w:rPr>
      </w:pPr>
      <w:r>
        <w:rPr>
          <w:rFonts w:cs="Arial" w:ascii="Arial" w:hAnsi="Arial"/>
        </w:rPr>
        <w:t>Azbest szeroko stosowany był w kilku dziedzinach gospodarki, przede wszystkim w budownictwie, ale także w energetyce, transporcie i przemyśle chemicznym. Najważniejszymi zastosowaniami azbestu są:</w:t>
      </w:r>
    </w:p>
    <w:p>
      <w:pPr>
        <w:pStyle w:val="ListParagraph"/>
        <w:numPr>
          <w:ilvl w:val="0"/>
          <w:numId w:val="43"/>
        </w:numPr>
        <w:spacing w:lineRule="auto" w:line="360" w:before="0" w:after="0"/>
        <w:contextualSpacing/>
        <w:jc w:val="both"/>
        <w:rPr>
          <w:rFonts w:ascii="Arial" w:hAnsi="Arial" w:cs="Arial"/>
        </w:rPr>
      </w:pPr>
      <w:r>
        <w:rPr>
          <w:rFonts w:cs="Arial" w:ascii="Arial" w:hAnsi="Arial"/>
        </w:rPr>
        <w:t>wyroby azbestowo-cementowe produkowane z azbestów chryzotylowych</w:t>
        <w:br/>
        <w:t>i amfibolowych, takie jak: pokrycia dachowe, rury ciśnieniowe, płyty okładzinowe</w:t>
        <w:br/>
        <w:t>i elewacyjne zawierające od 10 do 35% azbestu;</w:t>
      </w:r>
    </w:p>
    <w:p>
      <w:pPr>
        <w:pStyle w:val="ListParagraph"/>
        <w:numPr>
          <w:ilvl w:val="0"/>
          <w:numId w:val="43"/>
        </w:numPr>
        <w:spacing w:lineRule="auto" w:line="360" w:before="0" w:after="0"/>
        <w:contextualSpacing/>
        <w:jc w:val="both"/>
        <w:rPr>
          <w:rFonts w:ascii="Arial" w:hAnsi="Arial" w:cs="Arial"/>
        </w:rPr>
      </w:pPr>
      <w:r>
        <w:rPr>
          <w:rFonts w:cs="Arial" w:ascii="Arial" w:hAnsi="Arial"/>
        </w:rPr>
        <w:t>wyroby izolacyjne stosowane do izolacji kotłów parowych, wymienników ciepła, zbiorników, przewodów rurowych oraz ubrań i tkanin ognioodpornych. Zawierają one w zależności od przeznaczenia od 75 do 100% azbestu, głównie chryzotylu;</w:t>
      </w:r>
    </w:p>
    <w:p>
      <w:pPr>
        <w:pStyle w:val="ListParagraph"/>
        <w:numPr>
          <w:ilvl w:val="0"/>
          <w:numId w:val="43"/>
        </w:numPr>
        <w:spacing w:lineRule="auto" w:line="360" w:before="0" w:after="0"/>
        <w:contextualSpacing/>
        <w:jc w:val="both"/>
        <w:rPr>
          <w:rFonts w:ascii="Arial" w:hAnsi="Arial" w:cs="Arial"/>
        </w:rPr>
      </w:pPr>
      <w:r>
        <w:rPr>
          <w:rFonts w:cs="Arial" w:ascii="Arial" w:hAnsi="Arial"/>
        </w:rPr>
        <w:t>wyroby uszczelniające: tektury, płyty azbestowo-kauczukowe, szczeliwa plecione,</w:t>
      </w:r>
    </w:p>
    <w:p>
      <w:pPr>
        <w:pStyle w:val="ListParagraph"/>
        <w:numPr>
          <w:ilvl w:val="0"/>
          <w:numId w:val="43"/>
        </w:numPr>
        <w:spacing w:lineRule="auto" w:line="360" w:before="0" w:after="0"/>
        <w:contextualSpacing/>
        <w:jc w:val="both"/>
        <w:rPr>
          <w:rFonts w:ascii="Arial" w:hAnsi="Arial" w:cs="Arial"/>
        </w:rPr>
      </w:pPr>
      <w:r>
        <w:rPr>
          <w:rFonts w:cs="Arial" w:ascii="Arial" w:hAnsi="Arial"/>
        </w:rPr>
        <w:t>wyroby cierne, takie jak: okładziny cierne i taśmy hamulcowe stosowane</w:t>
        <w:br/>
        <w:t>do różnego typu hamulców,</w:t>
      </w:r>
    </w:p>
    <w:p>
      <w:pPr>
        <w:pStyle w:val="ListParagraph"/>
        <w:numPr>
          <w:ilvl w:val="0"/>
          <w:numId w:val="43"/>
        </w:numPr>
        <w:spacing w:lineRule="auto" w:line="360" w:before="0" w:after="0"/>
        <w:contextualSpacing/>
        <w:jc w:val="both"/>
        <w:rPr>
          <w:rFonts w:ascii="Arial" w:hAnsi="Arial" w:cs="Arial"/>
        </w:rPr>
      </w:pPr>
      <w:r>
        <w:rPr>
          <w:rFonts w:cs="Arial" w:ascii="Arial" w:hAnsi="Arial"/>
        </w:rPr>
        <w:t>wyroby tekstylne: sznury i maty,</w:t>
      </w:r>
    </w:p>
    <w:p>
      <w:pPr>
        <w:pStyle w:val="ListParagraph"/>
        <w:numPr>
          <w:ilvl w:val="0"/>
          <w:numId w:val="43"/>
        </w:numPr>
        <w:spacing w:lineRule="auto" w:line="360" w:before="0" w:after="0"/>
        <w:contextualSpacing/>
        <w:jc w:val="both"/>
        <w:rPr>
          <w:rFonts w:ascii="Arial" w:hAnsi="Arial" w:cs="Arial"/>
        </w:rPr>
      </w:pPr>
      <w:r>
        <w:rPr>
          <w:rFonts w:cs="Arial" w:ascii="Arial" w:hAnsi="Arial"/>
        </w:rPr>
        <w:t>wyroby hydroizolacyjne: lepiki asfaltowe, kity uszczelniające, asfalty drogowe uszlachetnione, zaprawy gruntujące, papa dachowa, płytki podłogowe, zawierające od 20 do 40% azbestu.</w:t>
      </w:r>
    </w:p>
    <w:p>
      <w:pPr>
        <w:pStyle w:val="ListParagraph"/>
        <w:spacing w:lineRule="auto" w:line="360" w:before="0" w:after="0"/>
        <w:ind w:left="1080" w:hanging="0"/>
        <w:contextualSpacing/>
        <w:jc w:val="both"/>
        <w:rPr>
          <w:rFonts w:ascii="Arial" w:hAnsi="Arial" w:cs="Arial"/>
        </w:rPr>
      </w:pPr>
      <w:r>
        <w:rPr>
          <w:rFonts w:cs="Arial" w:ascii="Arial" w:hAnsi="Arial"/>
        </w:rPr>
      </w:r>
    </w:p>
    <w:p>
      <w:pPr>
        <w:pStyle w:val="Normal"/>
        <w:numPr>
          <w:ilvl w:val="0"/>
          <w:numId w:val="0"/>
        </w:numPr>
        <w:spacing w:lineRule="auto" w:line="360"/>
        <w:jc w:val="both"/>
        <w:rPr>
          <w:rFonts w:ascii="Arial" w:hAnsi="Arial" w:cs="Arial"/>
        </w:rPr>
      </w:pPr>
      <w:r>
        <w:rPr>
          <w:rFonts w:cs="Arial" w:ascii="Arial" w:hAnsi="Arial"/>
        </w:rPr>
        <w:t xml:space="preserve">Wśród wyrobów azbestowych można wydzielić dwie grupy produktów: </w:t>
      </w:r>
    </w:p>
    <w:p>
      <w:pPr>
        <w:pStyle w:val="Normal"/>
        <w:numPr>
          <w:ilvl w:val="0"/>
          <w:numId w:val="42"/>
        </w:numPr>
        <w:spacing w:lineRule="auto" w:line="360" w:before="0" w:after="0"/>
        <w:jc w:val="both"/>
        <w:rPr>
          <w:rFonts w:ascii="Arial" w:hAnsi="Arial" w:cs="Arial"/>
        </w:rPr>
      </w:pPr>
      <w:r>
        <w:rPr>
          <w:rStyle w:val="Strong"/>
          <w:rFonts w:cs="Arial" w:ascii="Arial" w:hAnsi="Arial"/>
        </w:rPr>
        <w:t>wyroby miękkie</w:t>
      </w:r>
      <w:r>
        <w:rPr>
          <w:rFonts w:cs="Arial" w:ascii="Arial" w:hAnsi="Arial"/>
        </w:rPr>
        <w:t xml:space="preserve"> (łamliwe, kruche) o gęstości mniejszej niż 1000 kg/m</w:t>
      </w:r>
      <w:r>
        <w:rPr>
          <w:rFonts w:cs="Arial" w:ascii="Arial" w:hAnsi="Arial"/>
          <w:vertAlign w:val="superscript"/>
        </w:rPr>
        <w:t>3</w:t>
      </w:r>
      <w:r>
        <w:rPr>
          <w:rFonts w:cs="Arial" w:ascii="Arial" w:hAnsi="Arial"/>
        </w:rPr>
        <w:t xml:space="preserve"> – charakteryzują się dużym procentowym udziałem azbestu (ponad 60%) i małym udziałem spoiwa, przez co łatwo ulegają uszkodzeniom, powodując dużą emisję pyłu azbestowego, a tym samym bardziej szkodliwe dla zdrowia (np. wyroby tkane i przędzone, </w:t>
      </w:r>
      <w:r>
        <w:rPr>
          <w:rFonts w:eastAsia="Symbol" w:cs="Symbol" w:ascii="Symbol" w:hAnsi="Symbol"/>
        </w:rPr>
        <w:t></w:t>
      </w:r>
      <w:r>
        <w:rPr>
          <w:rFonts w:cs="Arial" w:ascii="Arial" w:hAnsi="Arial"/>
        </w:rPr>
        <w:t xml:space="preserve">płaszcze azbestowo-gipsowe, </w:t>
      </w:r>
      <w:r>
        <w:rPr>
          <w:rFonts w:eastAsia="Symbol" w:cs="Symbol" w:ascii="Symbol" w:hAnsi="Symbol"/>
        </w:rPr>
        <w:t></w:t>
      </w:r>
      <w:r>
        <w:rPr>
          <w:rFonts w:cs="Arial" w:ascii="Arial" w:hAnsi="Arial"/>
        </w:rPr>
        <w:t>płyty i tektury miękkie, płytki podłogowe PCW, elementy uszczelkowe sprzętu AGD),</w:t>
      </w:r>
    </w:p>
    <w:p>
      <w:pPr>
        <w:pStyle w:val="Normal"/>
        <w:spacing w:lineRule="auto" w:line="360" w:before="0" w:after="0"/>
        <w:ind w:left="720" w:hanging="0"/>
        <w:jc w:val="both"/>
        <w:rPr>
          <w:rFonts w:ascii="Arial" w:hAnsi="Arial" w:cs="Arial"/>
        </w:rPr>
      </w:pPr>
      <w:r>
        <w:rPr>
          <w:rFonts w:cs="Arial" w:ascii="Arial" w:hAnsi="Arial"/>
        </w:rPr>
      </w:r>
    </w:p>
    <w:p>
      <w:pPr>
        <w:pStyle w:val="Normal"/>
        <w:numPr>
          <w:ilvl w:val="0"/>
          <w:numId w:val="42"/>
        </w:numPr>
        <w:spacing w:lineRule="auto" w:line="360" w:before="0" w:after="0"/>
        <w:jc w:val="both"/>
        <w:rPr>
          <w:rFonts w:ascii="Arial" w:hAnsi="Arial" w:cs="Arial"/>
        </w:rPr>
      </w:pPr>
      <w:r>
        <w:rPr>
          <w:rStyle w:val="Strong"/>
          <w:rFonts w:cs="Arial" w:ascii="Arial" w:hAnsi="Arial"/>
        </w:rPr>
        <w:t>wyroby twarde</w:t>
      </w:r>
      <w:r>
        <w:rPr>
          <w:rFonts w:cs="Arial" w:ascii="Arial" w:hAnsi="Arial"/>
        </w:rPr>
        <w:t xml:space="preserve"> (niekruche, sztywne) o gęstości większej niż 1000 kg/m</w:t>
      </w:r>
      <w:r>
        <w:rPr>
          <w:rFonts w:cs="Arial" w:ascii="Arial" w:hAnsi="Arial"/>
          <w:vertAlign w:val="superscript"/>
        </w:rPr>
        <w:t>3</w:t>
      </w:r>
      <w:r>
        <w:rPr>
          <w:rFonts w:cs="Arial" w:ascii="Arial" w:hAnsi="Arial"/>
        </w:rPr>
        <w:t xml:space="preserve"> – wyroby powszechnie stosowane w budownictwie, o niskiej procentowej zawartości minerałów azbestowych (poniżej 20%) i wysokiej zawartości substancji wiążącej (np. cementu), dzięki czemu bardzo trwałe i emitujące małe ilości pyłu azbestowego (głównie w wyniku obróbki mechanicznej), a tym samym mniej groźne dla zdrowia (np. płyty płaskie i faliste azbestowo-cementowe, rury azbestowo-cementowe, elementy konstrukcji wielokondygnacyjnych, przewody kominowe, zsypy).</w:t>
      </w:r>
    </w:p>
    <w:p>
      <w:pPr>
        <w:pStyle w:val="Normal"/>
        <w:spacing w:lineRule="auto" w:line="360"/>
        <w:ind w:firstLine="709"/>
        <w:jc w:val="both"/>
        <w:rPr>
          <w:rFonts w:ascii="Arial" w:hAnsi="Arial" w:cs="Arial"/>
        </w:rPr>
      </w:pPr>
      <w:r>
        <w:rPr>
          <w:rFonts w:cs="Arial" w:ascii="Arial" w:hAnsi="Arial"/>
        </w:rPr>
      </w:r>
    </w:p>
    <w:p>
      <w:pPr>
        <w:pStyle w:val="Normal"/>
        <w:spacing w:lineRule="auto" w:line="360"/>
        <w:ind w:firstLine="709"/>
        <w:jc w:val="both"/>
        <w:rPr>
          <w:rFonts w:ascii="Arial" w:hAnsi="Arial" w:cs="Arial"/>
        </w:rPr>
      </w:pPr>
      <w:r>
        <w:rPr>
          <w:rFonts w:cs="Arial" w:ascii="Arial" w:hAnsi="Arial"/>
        </w:rPr>
        <w:t>Szacuje się (w skali kraju), że ok. 96% ogólnej ilości wyrobów zawierających azbest stanowią płyty azbestowo-cementowe (faliste i płaskie). Od lat 80-tych ubiegłego wieku produkcja i zużycie azbestu na świecie systematycznie malały, przy czym począwszy od roku 2001 obserwuje się trend wzrostowy w tym zakresie. W 2005 r. światowa produkcja azbestu wynosiła ok. 2,4 mln ton rocznie. Najwięksi producenci azbestu to Rosja, Chiny, Kazachstan, Kanada, Brazylia i Zimbabwe, zaś największymi konsumentami tego surowca są kraje Azji, Ameryki Południowej oraz byłego Związku Radzieckiego.</w:t>
      </w:r>
    </w:p>
    <w:p>
      <w:pPr>
        <w:pStyle w:val="Normal"/>
        <w:spacing w:lineRule="auto" w:line="360"/>
        <w:ind w:firstLine="709"/>
        <w:jc w:val="both"/>
        <w:rPr>
          <w:rFonts w:ascii="Arial" w:hAnsi="Arial" w:cs="Arial"/>
        </w:rPr>
      </w:pPr>
      <w:r>
        <w:rPr>
          <w:rFonts w:cs="Arial" w:ascii="Arial" w:hAnsi="Arial"/>
        </w:rPr>
        <w:t>Wyroby azbestowe szczególnie powszechnie wykorzystywano w kilku dziedzinach gospodarki:</w:t>
      </w:r>
    </w:p>
    <w:p>
      <w:pPr>
        <w:pStyle w:val="Normal"/>
        <w:spacing w:lineRule="auto" w:line="360" w:before="0" w:after="0"/>
        <w:jc w:val="both"/>
        <w:rPr>
          <w:rFonts w:ascii="Arial" w:hAnsi="Arial" w:cs="Arial"/>
        </w:rPr>
      </w:pPr>
      <w:r>
        <w:rPr>
          <w:rFonts w:cs="Arial" w:ascii="Arial" w:hAnsi="Arial"/>
          <w:b/>
        </w:rPr>
        <w:t>Budownictwo:</w:t>
      </w:r>
      <w:r>
        <w:rPr>
          <w:rFonts w:cs="Arial" w:ascii="Arial" w:hAnsi="Arial"/>
        </w:rPr>
        <w:t xml:space="preserve"> Azbest stosowano w wyrobach budowlanych powszechnego użycia: eternit, czyli płyty faliste azbestowo-cementowe do pokryć dachowych, płyty prasowane- płaskie o zbliżonej zawartości azbestu, płyty KARO- dachowe pokrycia lub elewacje, rury azbestowo-cementowe wysokociśnieniowe, kanalizacyjne, stosowane także jako przewody wentylacyjne i dymowo-spalinowe, kryształki azbestowo-cementowe oraz elementy wielkowymiarowe, stosowane </w:t>
        <w:br/>
        <w:t>w budownictwie ogólnym i przemysłowym (płyty azbestowo-cementowe płaskie wykorzystywane w lekkich przegrodach ścian warstwowych i wbudowane w płyty warstwowe prefabrykowane- PW3/A, PŻ/3W i PŻ 3/A/S)</w:t>
      </w:r>
    </w:p>
    <w:p>
      <w:pPr>
        <w:pStyle w:val="Normal"/>
        <w:spacing w:lineRule="auto" w:line="360" w:before="0" w:after="0"/>
        <w:jc w:val="both"/>
        <w:rPr>
          <w:rFonts w:ascii="Arial" w:hAnsi="Arial" w:cs="Arial"/>
        </w:rPr>
      </w:pPr>
      <w:r>
        <w:rPr>
          <w:rFonts w:cs="Arial" w:ascii="Arial" w:hAnsi="Arial"/>
        </w:rPr>
        <w:t xml:space="preserve">Azbest mógł być stosowany wszędzie tam, gdzie potrzebna była podwyższona odporność ogniowa i zabezpieczenia ogniochronne elementów narażonych lub potencjalnie narażonych na wysoką temperaturę (klapy przeciwpożarowe, ciągi telekomunikacyjne, tablice rozdzielcze elektryczne, węzły ciepłownicze, obudowa klatek schodowych, przejścia kabli elektrycznych, przewodów ciepłowniczych i wentylacyjnych między stropami, zabezpieczenia elementów stropowych </w:t>
        <w:br/>
        <w:t>i ściennych strychów, piwnic , dróg ewakuacyjnych, konstrukcji stalowych). Azbest stosowano także w tkaninach wygłuszających hałas.</w:t>
      </w:r>
    </w:p>
    <w:p>
      <w:pPr>
        <w:pStyle w:val="Normal"/>
        <w:spacing w:lineRule="auto" w:line="360" w:before="0" w:after="0"/>
        <w:jc w:val="both"/>
        <w:rPr>
          <w:rFonts w:ascii="Arial" w:hAnsi="Arial" w:cs="Arial"/>
        </w:rPr>
      </w:pPr>
      <w:r>
        <w:rPr>
          <w:rFonts w:cs="Arial" w:ascii="Arial" w:hAnsi="Arial"/>
        </w:rPr>
      </w:r>
    </w:p>
    <w:p>
      <w:pPr>
        <w:pStyle w:val="Normal"/>
        <w:spacing w:lineRule="auto" w:line="360" w:before="0" w:after="0"/>
        <w:jc w:val="both"/>
        <w:rPr>
          <w:rFonts w:ascii="Arial" w:hAnsi="Arial" w:cs="Arial"/>
        </w:rPr>
      </w:pPr>
      <w:r>
        <w:rPr>
          <w:rFonts w:cs="Arial" w:ascii="Arial" w:hAnsi="Arial"/>
          <w:b/>
        </w:rPr>
        <w:t>Energetyka:</w:t>
      </w:r>
      <w:r>
        <w:rPr>
          <w:rFonts w:cs="Arial" w:ascii="Arial" w:hAnsi="Arial"/>
        </w:rPr>
        <w:t xml:space="preserve"> Azbest stosowano w elektrociepłowniach i elektrowniach, w obmurzach kotłów ( jako izolacje termiczne w formie sznurów i tektur na uszczelnieniach dylatacji podgrzewaczy powietrza) a także w uszczelnieniach urządzeń poddanych wysokiej temperaturze, w zaworach, wymiennikach ciepła, w izolacjach tras ciepłowniczych (jako płaszcze azbestowo-cementowe lub azbestowo-gipsowe).</w:t>
      </w:r>
    </w:p>
    <w:p>
      <w:pPr>
        <w:pStyle w:val="Normal"/>
        <w:spacing w:lineRule="auto" w:line="360" w:before="0" w:after="0"/>
        <w:jc w:val="both"/>
        <w:rPr>
          <w:rFonts w:ascii="Arial" w:hAnsi="Arial" w:cs="Arial"/>
        </w:rPr>
      </w:pPr>
      <w:r>
        <w:rPr>
          <w:rFonts w:cs="Arial" w:ascii="Arial" w:hAnsi="Arial"/>
        </w:rPr>
        <w:t>Wyroby zawierające azbest umiejscowione są w:</w:t>
      </w:r>
    </w:p>
    <w:p>
      <w:pPr>
        <w:pStyle w:val="Normal"/>
        <w:spacing w:lineRule="auto" w:line="360" w:before="0" w:after="0"/>
        <w:jc w:val="both"/>
        <w:rPr>
          <w:rFonts w:ascii="Arial" w:hAnsi="Arial" w:cs="Arial"/>
        </w:rPr>
      </w:pPr>
      <w:r>
        <w:rPr>
          <w:rFonts w:cs="Arial" w:ascii="Arial" w:hAnsi="Arial"/>
        </w:rPr>
        <w:t>- kominach o dużej wysokości (dylatacje wypełnione sznurem azbestowym)</w:t>
      </w:r>
    </w:p>
    <w:p>
      <w:pPr>
        <w:pStyle w:val="Normal"/>
        <w:spacing w:lineRule="auto" w:line="360" w:before="0" w:after="0"/>
        <w:jc w:val="both"/>
        <w:rPr>
          <w:rFonts w:ascii="Arial" w:hAnsi="Arial" w:cs="Arial"/>
        </w:rPr>
      </w:pPr>
      <w:r>
        <w:rPr>
          <w:rFonts w:cs="Arial" w:ascii="Arial" w:hAnsi="Arial"/>
        </w:rPr>
        <w:t>–</w:t>
      </w:r>
      <w:r>
        <w:rPr>
          <w:rFonts w:cs="Arial" w:ascii="Arial" w:hAnsi="Arial"/>
        </w:rPr>
        <w:t>chłodniach kominowych (pyły azbestowo-cementowe w zraszalnikach i obudowie wewnętrznej chłodni) chłodniach wentylatorowych (w obudowie wewnętrznej chłodni)</w:t>
      </w:r>
    </w:p>
    <w:p>
      <w:pPr>
        <w:pStyle w:val="Normal"/>
        <w:spacing w:lineRule="auto" w:line="360" w:before="0" w:after="0"/>
        <w:jc w:val="both"/>
        <w:rPr>
          <w:rFonts w:ascii="Arial" w:hAnsi="Arial" w:cs="Arial"/>
        </w:rPr>
      </w:pPr>
      <w:r>
        <w:rPr>
          <w:rFonts w:cs="Arial" w:ascii="Arial" w:hAnsi="Arial"/>
        </w:rPr>
        <w:t>–</w:t>
      </w:r>
      <w:r>
        <w:rPr>
          <w:rFonts w:cs="Arial" w:ascii="Arial" w:hAnsi="Arial"/>
        </w:rPr>
        <w:t>rurach odprowadzających parę, zraszalnikach itp. ( w formie izolacji cieplnej ze sznura azbestowego)</w:t>
      </w:r>
    </w:p>
    <w:p>
      <w:pPr>
        <w:pStyle w:val="Normal"/>
        <w:spacing w:lineRule="auto" w:line="360" w:before="0" w:after="0"/>
        <w:jc w:val="both"/>
        <w:rPr>
          <w:rFonts w:ascii="Arial" w:hAnsi="Arial" w:cs="Arial"/>
        </w:rPr>
      </w:pPr>
      <w:r>
        <w:rPr>
          <w:rFonts w:cs="Arial" w:ascii="Arial" w:hAnsi="Arial"/>
        </w:rPr>
      </w:r>
    </w:p>
    <w:p>
      <w:pPr>
        <w:pStyle w:val="Normal"/>
        <w:spacing w:lineRule="auto" w:line="360" w:before="0" w:after="0"/>
        <w:jc w:val="both"/>
        <w:rPr>
          <w:rFonts w:ascii="Arial" w:hAnsi="Arial" w:cs="Arial"/>
        </w:rPr>
      </w:pPr>
      <w:r>
        <w:rPr>
          <w:rFonts w:cs="Arial" w:ascii="Arial" w:hAnsi="Arial"/>
          <w:b/>
        </w:rPr>
        <w:t>Transport:</w:t>
      </w:r>
      <w:r>
        <w:rPr>
          <w:rFonts w:cs="Arial" w:ascii="Arial" w:hAnsi="Arial"/>
        </w:rPr>
        <w:t xml:space="preserve"> Azbest stosowano do izolacji termoizolacji elektrycznych urządzeń grzewczych </w:t>
        <w:br/>
        <w:t xml:space="preserve">w elektrowozach, tramwajach, wagonach, metrze (maty azbestowe w grzejnikach i tablicach rozdzielczych, elektrycznych), w termoizolacji silników pojazdów mechanicznych, w uszczelkach po głowice, elementach kolektorów wydechowych oraz elementach ciernych – sprzęgłach </w:t>
        <w:br/>
        <w:t>i hamulcach. Powszechnie stosowano azbest w kolejnictwie, w przemyśle lotniczym i stoczniowym, np. w statkach, szczególnie w miejscach narażonych na ogień, wymagających zwiększonej odporności na wysoką temperaturę.</w:t>
      </w:r>
    </w:p>
    <w:p>
      <w:pPr>
        <w:pStyle w:val="Normal"/>
        <w:spacing w:lineRule="auto" w:line="360" w:before="0" w:after="0"/>
        <w:jc w:val="both"/>
        <w:rPr>
          <w:rFonts w:ascii="Arial" w:hAnsi="Arial" w:cs="Arial"/>
        </w:rPr>
      </w:pPr>
      <w:r>
        <w:rPr>
          <w:rFonts w:cs="Arial" w:ascii="Arial" w:hAnsi="Arial"/>
          <w:b/>
        </w:rPr>
        <w:t>Przemysł chemiczny</w:t>
      </w:r>
      <w:r>
        <w:rPr>
          <w:rFonts w:cs="Arial" w:ascii="Arial" w:hAnsi="Arial"/>
        </w:rPr>
        <w:t>: Z azbestu wykonane są przepony stosowane w elektrolitycznej produkcji chloru. Ponadto azbest występuje w hutach szkła.(np. w wałach ciągnących)</w:t>
      </w:r>
    </w:p>
    <w:p>
      <w:pPr>
        <w:pStyle w:val="Normal"/>
        <w:spacing w:lineRule="auto" w:line="360" w:before="0" w:after="0"/>
        <w:jc w:val="both"/>
        <w:rPr>
          <w:rFonts w:ascii="Arial" w:hAnsi="Arial" w:cs="Arial"/>
        </w:rPr>
      </w:pPr>
      <w:r>
        <w:rPr>
          <w:rFonts w:cs="Arial" w:ascii="Arial" w:hAnsi="Arial"/>
        </w:rPr>
      </w:r>
    </w:p>
    <w:p>
      <w:pPr>
        <w:pStyle w:val="Normal"/>
        <w:spacing w:lineRule="auto" w:line="360" w:before="0" w:after="0"/>
        <w:jc w:val="both"/>
        <w:rPr>
          <w:rFonts w:ascii="Arial" w:hAnsi="Arial" w:cs="Arial"/>
        </w:rPr>
      </w:pPr>
      <w:r>
        <w:rPr>
          <w:rFonts w:cs="Arial" w:ascii="Arial" w:hAnsi="Arial"/>
        </w:rPr>
        <w:t>Wyroby zawierające azbest kwalifikowane są w trzech stopniach pilności ich unieszkodliwienia:</w:t>
      </w:r>
    </w:p>
    <w:p>
      <w:pPr>
        <w:pStyle w:val="Normal"/>
        <w:spacing w:lineRule="auto" w:line="360" w:before="0" w:after="0"/>
        <w:jc w:val="both"/>
        <w:rPr>
          <w:rFonts w:ascii="Arial" w:hAnsi="Arial" w:cs="Arial"/>
        </w:rPr>
      </w:pPr>
      <w:r>
        <w:rPr>
          <w:rFonts w:cs="Arial" w:ascii="Arial" w:hAnsi="Arial"/>
          <w:b/>
        </w:rPr>
        <w:t>I stopień pilności:</w:t>
      </w:r>
      <w:r>
        <w:rPr>
          <w:rFonts w:cs="Arial" w:ascii="Arial" w:hAnsi="Arial"/>
        </w:rPr>
        <w:t xml:space="preserve"> wymagane pilne usunięcie (wymiana na wyrób bezazbestowy) lub    </w:t>
      </w:r>
    </w:p>
    <w:p>
      <w:pPr>
        <w:pStyle w:val="Normal"/>
        <w:spacing w:lineRule="auto" w:line="360" w:before="0" w:after="0"/>
        <w:jc w:val="both"/>
        <w:rPr>
          <w:rFonts w:ascii="Arial" w:hAnsi="Arial" w:cs="Arial"/>
        </w:rPr>
      </w:pPr>
      <w:r>
        <w:rPr>
          <w:rFonts w:cs="Arial" w:ascii="Arial" w:hAnsi="Arial"/>
        </w:rPr>
        <w:t>zabezpieczenie;                       </w:t>
      </w:r>
    </w:p>
    <w:p>
      <w:pPr>
        <w:pStyle w:val="Normal"/>
        <w:spacing w:lineRule="auto" w:line="360" w:before="0" w:after="0"/>
        <w:jc w:val="both"/>
        <w:rPr>
          <w:rFonts w:ascii="Arial" w:hAnsi="Arial" w:cs="Arial"/>
        </w:rPr>
      </w:pPr>
      <w:r>
        <w:rPr>
          <w:rFonts w:cs="Arial" w:ascii="Arial" w:hAnsi="Arial"/>
          <w:b/>
        </w:rPr>
        <w:t>II stopień pilności</w:t>
      </w:r>
      <w:r>
        <w:rPr>
          <w:rFonts w:cs="Arial" w:ascii="Arial" w:hAnsi="Arial"/>
        </w:rPr>
        <w:t>: wymagana ponowna ocena w terminie do 1 roku;</w:t>
      </w:r>
    </w:p>
    <w:p>
      <w:pPr>
        <w:pStyle w:val="Normal"/>
        <w:spacing w:lineRule="auto" w:line="360" w:before="0" w:after="0"/>
        <w:jc w:val="both"/>
        <w:rPr>
          <w:rFonts w:ascii="Arial" w:hAnsi="Arial" w:cs="Arial"/>
        </w:rPr>
      </w:pPr>
      <w:r>
        <w:rPr>
          <w:rFonts w:cs="Arial" w:ascii="Arial" w:hAnsi="Arial"/>
          <w:b/>
        </w:rPr>
        <w:t>III stopień pilności</w:t>
      </w:r>
      <w:r>
        <w:rPr>
          <w:rFonts w:cs="Arial" w:ascii="Arial" w:hAnsi="Arial"/>
        </w:rPr>
        <w:t>: wymagana ponowna ocena w terminie do 5 lat.</w:t>
      </w:r>
    </w:p>
    <w:p>
      <w:pPr>
        <w:pStyle w:val="Normal"/>
        <w:spacing w:lineRule="auto" w:line="360" w:before="0" w:after="0"/>
        <w:jc w:val="center"/>
        <w:rPr>
          <w:rFonts w:ascii="Arial" w:hAnsi="Arial" w:cs="Arial"/>
          <w:sz w:val="16"/>
          <w:szCs w:val="16"/>
        </w:rPr>
      </w:pPr>
      <w:r>
        <w:rPr>
          <w:rFonts w:cs="Arial" w:ascii="Arial" w:hAnsi="Arial"/>
          <w:sz w:val="16"/>
          <w:szCs w:val="16"/>
        </w:rPr>
      </w:r>
    </w:p>
    <w:p>
      <w:pPr>
        <w:pStyle w:val="Normal"/>
        <w:spacing w:lineRule="auto" w:line="360" w:before="0" w:after="0"/>
        <w:ind w:firstLine="709"/>
        <w:jc w:val="both"/>
        <w:rPr>
          <w:rFonts w:ascii="Arial" w:hAnsi="Arial" w:cs="Arial"/>
        </w:rPr>
      </w:pPr>
      <w:r>
        <w:rPr>
          <w:rFonts w:cs="Arial" w:ascii="Arial" w:hAnsi="Arial"/>
        </w:rPr>
        <w:t xml:space="preserve">Produkcja płyt azbestowo-cementowych w Polsce rozpoczęła się w 1907 roku </w:t>
        <w:br/>
        <w:t>w Katowicach, następnie w Warszawie (ok.1910 r.) i w Ogrodzieńcu k/Zawiercia(ok. 1920 r.). Jednak stosowanie azbestu na szeroką skalę na terenie Polski w budownictwie nastąpiło</w:t>
        <w:br/>
        <w:t xml:space="preserve">w latach 60-tych, po uruchomieniu następnych 4 dużych zakładów wyrobów azbestowo-cementowych. Głównym surowcem stosowanym do produkcji był azbest chryzotylowy, ale do połowy lat osiemdziesiątych do produkcji rur ciśnieniowych stosowany był także krokidolit oraz niewielkie ilości amozytu. </w:t>
      </w:r>
    </w:p>
    <w:p>
      <w:pPr>
        <w:pStyle w:val="Normal"/>
        <w:spacing w:lineRule="auto" w:line="360" w:before="0" w:after="0"/>
        <w:ind w:firstLine="709"/>
        <w:jc w:val="both"/>
        <w:rPr>
          <w:rFonts w:ascii="Arial" w:hAnsi="Arial" w:cs="Arial"/>
        </w:rPr>
      </w:pPr>
      <w:r>
        <w:rPr>
          <w:rFonts w:cs="Arial" w:ascii="Arial" w:hAnsi="Arial"/>
        </w:rPr>
        <w:t xml:space="preserve">Produkcja płyt azbestowo-cementowych w Polsce została zakazana </w:t>
      </w:r>
      <w:r>
        <w:rPr>
          <w:rFonts w:cs="Arial" w:ascii="Arial" w:hAnsi="Arial"/>
          <w:i/>
        </w:rPr>
        <w:t xml:space="preserve">Ustawą z dnia 19 czerwca 1997 r. </w:t>
      </w:r>
      <w:r>
        <w:rPr>
          <w:rFonts w:cs="Arial" w:ascii="Arial" w:hAnsi="Arial"/>
          <w:i/>
          <w:iCs/>
        </w:rPr>
        <w:t>o zakazie stosowania wyrobów zawierających azbest</w:t>
      </w:r>
      <w:r>
        <w:rPr>
          <w:rFonts w:cs="Arial" w:ascii="Arial" w:hAnsi="Arial"/>
          <w:i/>
        </w:rPr>
        <w:t xml:space="preserve"> (t.j. Dz.U. 2017 poz. 2119).</w:t>
      </w:r>
      <w:r>
        <w:rPr>
          <w:rFonts w:cs="Arial" w:ascii="Arial" w:hAnsi="Arial"/>
        </w:rPr>
        <w:t xml:space="preserve"> Zgodnie z ww. ustawą w Polsce do 28 września 1998 r. została całkowicie zakończona produkcja płyt azbestowo-cementowych (a wcześniej innych wyrobów zawierających azbest). Natomiast po 28 marca 1999 r. obowiązuje zakaz obrotu azbestem i wyrobami zawierającymi azbest. Wyjątek stanowią wyroby z zawartością azbestu, które nie posiadają jeszcze swoich zamienników ze względu na ekstremalne warunki pracy. Wykaz takich wyrobów zawarty jest w rozporządzeniach ministra właściwego do spraw gospodarki w sprawie dopuszczenia wyrobów zawierających azbest do produkcji lub do wprowadzania na polski obszar celny. Dotyczy to azbestu włóknistego sprowadzanego do produkcji diafragmy wykorzystywanej do elektrolizy przeponowej przy produkcji chloru i wyrobów azbestowo-kauczukowych.</w:t>
      </w:r>
    </w:p>
    <w:p>
      <w:pPr>
        <w:pStyle w:val="BodyText2"/>
        <w:spacing w:lineRule="auto" w:line="360"/>
        <w:ind w:firstLine="709"/>
        <w:jc w:val="both"/>
        <w:rPr>
          <w:rFonts w:ascii="Arial" w:hAnsi="Arial" w:cs="Arial"/>
          <w:sz w:val="22"/>
          <w:szCs w:val="22"/>
        </w:rPr>
      </w:pPr>
      <w:r>
        <w:rPr>
          <w:rFonts w:cs="Arial" w:ascii="Arial" w:hAnsi="Arial"/>
          <w:sz w:val="22"/>
          <w:szCs w:val="22"/>
        </w:rPr>
      </w:r>
    </w:p>
    <w:p>
      <w:pPr>
        <w:pStyle w:val="Normal"/>
        <w:spacing w:lineRule="auto" w:line="360" w:before="0" w:after="0"/>
        <w:jc w:val="both"/>
        <w:rPr>
          <w:rFonts w:ascii="Arial" w:hAnsi="Arial" w:cs="Arial"/>
          <w:b/>
          <w:b/>
          <w:vanish/>
          <w:sz w:val="24"/>
          <w:szCs w:val="24"/>
        </w:rPr>
      </w:pPr>
      <w:r>
        <w:rPr>
          <w:rFonts w:cs="Arial" w:ascii="Arial" w:hAnsi="Arial"/>
          <w:b/>
          <w:vanish/>
          <w:sz w:val="24"/>
          <w:szCs w:val="24"/>
        </w:rPr>
      </w:r>
    </w:p>
    <w:p>
      <w:pPr>
        <w:pStyle w:val="ListParagraph"/>
        <w:numPr>
          <w:ilvl w:val="0"/>
          <w:numId w:val="2"/>
        </w:numPr>
        <w:jc w:val="both"/>
        <w:rPr>
          <w:rFonts w:ascii="Arial" w:hAnsi="Arial" w:cs="Arial"/>
          <w:b/>
          <w:b/>
          <w:vanish/>
          <w:sz w:val="24"/>
          <w:szCs w:val="24"/>
        </w:rPr>
      </w:pPr>
      <w:r>
        <w:rPr>
          <w:rFonts w:cs="Arial" w:ascii="Arial" w:hAnsi="Arial"/>
          <w:b/>
          <w:vanish/>
          <w:sz w:val="24"/>
          <w:szCs w:val="24"/>
        </w:rPr>
      </w:r>
    </w:p>
    <w:p>
      <w:pPr>
        <w:pStyle w:val="ListParagraph"/>
        <w:numPr>
          <w:ilvl w:val="1"/>
          <w:numId w:val="2"/>
        </w:numPr>
        <w:jc w:val="both"/>
        <w:rPr>
          <w:rFonts w:ascii="Arial" w:hAnsi="Arial" w:cs="Arial"/>
          <w:b/>
          <w:b/>
          <w:vanish/>
          <w:sz w:val="24"/>
          <w:szCs w:val="24"/>
        </w:rPr>
      </w:pPr>
      <w:r>
        <w:rPr>
          <w:rFonts w:cs="Arial" w:ascii="Arial" w:hAnsi="Arial"/>
          <w:b/>
          <w:vanish/>
          <w:sz w:val="24"/>
          <w:szCs w:val="24"/>
        </w:rPr>
      </w:r>
    </w:p>
    <w:p>
      <w:pPr>
        <w:pStyle w:val="Nagwek2"/>
        <w:spacing w:before="0" w:after="0"/>
        <w:rPr/>
      </w:pPr>
      <w:bookmarkStart w:id="28" w:name="_Toc335395336"/>
      <w:bookmarkStart w:id="29" w:name="_Toc20296861"/>
      <w:r>
        <w:rPr/>
        <w:t>2.2. Wpływ azbestu na organizm ludzki</w:t>
      </w:r>
      <w:bookmarkEnd w:id="28"/>
      <w:bookmarkEnd w:id="29"/>
    </w:p>
    <w:p>
      <w:pPr>
        <w:pStyle w:val="Normal"/>
        <w:spacing w:lineRule="auto" w:line="360" w:before="0" w:after="0"/>
        <w:jc w:val="both"/>
        <w:rPr>
          <w:rFonts w:ascii="Arial" w:hAnsi="Arial" w:cs="Arial"/>
        </w:rPr>
      </w:pPr>
      <w:r>
        <w:rPr>
          <w:rFonts w:cs="Arial" w:ascii="Arial" w:hAnsi="Arial"/>
        </w:rPr>
      </w:r>
    </w:p>
    <w:p>
      <w:pPr>
        <w:pStyle w:val="Normal"/>
        <w:spacing w:lineRule="auto" w:line="360" w:before="0" w:after="0"/>
        <w:ind w:firstLine="709"/>
        <w:jc w:val="both"/>
        <w:rPr>
          <w:rFonts w:ascii="Arial" w:hAnsi="Arial" w:cs="Arial"/>
        </w:rPr>
      </w:pPr>
      <w:r>
        <w:rPr>
          <w:rFonts w:cs="Arial" w:ascii="Arial" w:hAnsi="Arial"/>
        </w:rPr>
        <w:t>Wyroby azbestowe, zastosowane, jako materiał budowlany nie stanowią zagrożenia dla mieszkańców, jeżeli są prawidło eksploatowane.</w:t>
        <w:tab/>
      </w:r>
    </w:p>
    <w:p>
      <w:pPr>
        <w:pStyle w:val="Normal"/>
        <w:spacing w:lineRule="auto" w:line="360" w:before="0" w:after="0"/>
        <w:ind w:firstLine="708"/>
        <w:jc w:val="both"/>
        <w:rPr>
          <w:rFonts w:ascii="Arial" w:hAnsi="Arial" w:cs="Arial"/>
        </w:rPr>
      </w:pPr>
      <w:r>
        <w:rPr>
          <w:rFonts w:cs="Arial" w:ascii="Arial" w:hAnsi="Arial"/>
        </w:rPr>
        <w:t>Chorobotwórcze działanie azbestu występuje w wyniku wdychania włókien zawieszonych w powietrzu (oznacza to, że dopóki włókna nie są uwolnione do powietrza nie stanowią zagrożenia dla zdrowia). Azbest może być także obecny w wodzie, napojach i pokarmach, skąd dostaje się do organizmu człowieka. Jednak nie ma dowodów świadczących o tym, że azbest dostający się do organizmu drogą pokarmową jest szkodliwy dla zdrowia.</w:t>
      </w:r>
    </w:p>
    <w:p>
      <w:pPr>
        <w:pStyle w:val="Normal"/>
        <w:spacing w:lineRule="auto" w:line="360" w:before="0" w:after="0"/>
        <w:ind w:firstLine="709"/>
        <w:jc w:val="both"/>
        <w:rPr>
          <w:rFonts w:ascii="Arial" w:hAnsi="Arial" w:cs="Arial"/>
        </w:rPr>
      </w:pPr>
      <w:r>
        <w:rPr>
          <w:rFonts w:cs="Arial" w:ascii="Arial" w:hAnsi="Arial"/>
        </w:rPr>
        <w:t>Naturalne źródła emisji włókien azbestowych w praktyce mają mniejsze znaczenie niż źródła związane z działalnością człowieka. Obecnie po zaprzestaniu produkcji wyrobów zawierających azbest tymi źródłami są:</w:t>
      </w:r>
    </w:p>
    <w:p>
      <w:pPr>
        <w:pStyle w:val="ListParagraph"/>
        <w:numPr>
          <w:ilvl w:val="0"/>
          <w:numId w:val="28"/>
        </w:numPr>
        <w:spacing w:lineRule="auto" w:line="360"/>
        <w:jc w:val="both"/>
        <w:rPr>
          <w:rFonts w:ascii="Arial" w:hAnsi="Arial" w:cs="Arial"/>
        </w:rPr>
      </w:pPr>
      <w:r>
        <w:rPr>
          <w:rFonts w:cs="Arial" w:ascii="Arial" w:hAnsi="Arial"/>
        </w:rPr>
        <w:t>niewłaściwie składowane odpady azbestowe, w tym tzw. dzikie wysypiska, szczególnie w lasach i odkrytych wyrobiskach,</w:t>
      </w:r>
    </w:p>
    <w:p>
      <w:pPr>
        <w:pStyle w:val="ListParagraph"/>
        <w:numPr>
          <w:ilvl w:val="0"/>
          <w:numId w:val="28"/>
        </w:numPr>
        <w:spacing w:lineRule="auto" w:line="360"/>
        <w:jc w:val="both"/>
        <w:rPr>
          <w:rFonts w:ascii="Arial" w:hAnsi="Arial" w:cs="Arial"/>
        </w:rPr>
      </w:pPr>
      <w:r>
        <w:rPr>
          <w:rFonts w:cs="Arial" w:ascii="Arial" w:hAnsi="Arial"/>
        </w:rPr>
        <w:t xml:space="preserve">użytkowanie wyrobów azbestowych co w konsekwencji prowadzi do zanieczyszczenia powietrza pyłem azbestowym w wyniku: korozji i mechanicznych uszkodzeń płyt azbestowo-cementowych, ścierania tarcz sprzęgłowych i hamulcowych, </w:t>
      </w:r>
    </w:p>
    <w:p>
      <w:pPr>
        <w:pStyle w:val="ListParagraph"/>
        <w:numPr>
          <w:ilvl w:val="0"/>
          <w:numId w:val="28"/>
        </w:numPr>
        <w:spacing w:lineRule="auto" w:line="360"/>
        <w:jc w:val="both"/>
        <w:rPr>
          <w:rFonts w:ascii="Arial" w:hAnsi="Arial" w:cs="Arial"/>
        </w:rPr>
      </w:pPr>
      <w:r>
        <w:rPr>
          <w:rFonts w:cs="Arial" w:ascii="Arial" w:hAnsi="Arial"/>
        </w:rPr>
        <w:t>niewłaściwe usuwanie z dachów i elewacji wyrobów zawierających azbest,</w:t>
      </w:r>
    </w:p>
    <w:p>
      <w:pPr>
        <w:pStyle w:val="ListParagraph"/>
        <w:numPr>
          <w:ilvl w:val="0"/>
          <w:numId w:val="28"/>
        </w:numPr>
        <w:spacing w:lineRule="auto" w:line="360" w:before="0" w:after="0"/>
        <w:contextualSpacing/>
        <w:jc w:val="both"/>
        <w:rPr>
          <w:rFonts w:ascii="Arial" w:hAnsi="Arial" w:cs="Arial"/>
        </w:rPr>
      </w:pPr>
      <w:r>
        <w:rPr>
          <w:rFonts w:cs="Arial" w:ascii="Arial" w:hAnsi="Arial"/>
        </w:rPr>
        <w:t>urządzenia grzewcze, wentylacyjne, klimatyzacyjne i izolacje zawierające azbest.</w:t>
        <w:br/>
        <w:t>Są to źródła występujące wewnątrz pomieszczeń. Stosowanie wyrobów azbestowych, a w konsekwencji możliwość uwalniania włókien azbestu do środowiska, spowodowało wzrost zainteresowania zdrowotnymi skutkami środowiskowej ekspozycji na azbest.</w:t>
      </w:r>
    </w:p>
    <w:p>
      <w:pPr>
        <w:pStyle w:val="Normal"/>
        <w:spacing w:lineRule="auto" w:line="360" w:before="0" w:after="0"/>
        <w:ind w:firstLine="709"/>
        <w:jc w:val="both"/>
        <w:rPr>
          <w:rFonts w:ascii="Arial" w:hAnsi="Arial" w:cs="Arial"/>
        </w:rPr>
      </w:pPr>
      <w:r>
        <w:rPr>
          <w:rFonts w:cs="Arial" w:ascii="Arial" w:hAnsi="Arial"/>
        </w:rPr>
        <w:t>Wielkość zagrożenia zdrowia zależna jest od rodzaju azbestu, wielkości włókien i ich stężenia w powietrzu oraz czasu narażenia. Największe zagrożenie stanowią włókna respirabilne, tzn. występujące w trwałej postaci w powietrzu i mogące przedostawać się</w:t>
        <w:br/>
        <w:t xml:space="preserve">z wdychanym powietrzem do pęcherzyków płucnych. Mają one średnicę mniejszą od3 μm i są dłuższe niż 5 μm, przy czym najbardziej szkodliwe są włókna o długości ok. 20 μm. </w:t>
      </w:r>
      <w:r>
        <w:rPr>
          <w:rFonts w:cs="Arial" w:ascii="Arial" w:hAnsi="Arial"/>
          <w:iCs/>
        </w:rPr>
        <w:t>Narażenie zawodowe</w:t>
      </w:r>
      <w:r>
        <w:rPr>
          <w:rFonts w:cs="Arial" w:ascii="Arial" w:hAnsi="Arial"/>
        </w:rPr>
        <w:t xml:space="preserve"> na pył azbestu może być przyczyną chorób układu oddechowego tj.: pylicy azbestowej (azbestozy), łagodnych zmian opłucnowych, raka płuc oraz międzybłoniaków opłucnej i otrzewnej (nowotworów o wysokiej złośliwości).</w:t>
      </w:r>
    </w:p>
    <w:p>
      <w:pPr>
        <w:pStyle w:val="Normal"/>
        <w:spacing w:lineRule="auto" w:line="360" w:before="0" w:after="0"/>
        <w:ind w:firstLine="709"/>
        <w:jc w:val="both"/>
        <w:rPr>
          <w:rFonts w:ascii="Arial" w:hAnsi="Arial" w:cs="Arial"/>
        </w:rPr>
      </w:pPr>
      <w:r>
        <w:rPr>
          <w:rFonts w:cs="Arial" w:ascii="Arial" w:hAnsi="Arial"/>
        </w:rPr>
        <w:t>Doniesienia kliniczne i epidemiologiczne sugerują, że z azbestem może być również związane występowanie innych nowotworów: krtani, żołądka i jelit, trzustki, jajników oraz chłoniaków. Jednak zwiększenie ryzyka w tych grupach nowotworów należy postrzegać jedynie jako prawdopodobne.</w:t>
      </w:r>
    </w:p>
    <w:p>
      <w:pPr>
        <w:pStyle w:val="Normal"/>
        <w:spacing w:lineRule="auto" w:line="360" w:before="0" w:after="0"/>
        <w:ind w:firstLine="709"/>
        <w:jc w:val="both"/>
        <w:rPr>
          <w:rFonts w:ascii="Arial" w:hAnsi="Arial" w:cs="Arial"/>
        </w:rPr>
      </w:pPr>
      <w:r>
        <w:rPr>
          <w:rFonts w:cs="Arial" w:ascii="Arial" w:hAnsi="Arial"/>
        </w:rPr>
        <w:t xml:space="preserve">Między pierwszym narażeniem a pojawieniem się patologii (zwłaszcza nowotworów) występują długie okresy. Czyli aktualnie wykrywane skutki odnoszą się do warunków pracy, jakie istniały 20-40 lat temu. </w:t>
      </w:r>
    </w:p>
    <w:p>
      <w:pPr>
        <w:pStyle w:val="Normal"/>
        <w:spacing w:lineRule="auto" w:line="360" w:before="0" w:after="0"/>
        <w:ind w:firstLine="709"/>
        <w:jc w:val="both"/>
        <w:rPr>
          <w:rFonts w:ascii="Arial" w:hAnsi="Arial" w:cs="Arial"/>
        </w:rPr>
      </w:pPr>
      <w:r>
        <w:rPr>
          <w:rFonts w:cs="Arial" w:ascii="Arial" w:hAnsi="Arial"/>
        </w:rPr>
        <w:t>Analizując szkodliwość azbestu i jego wpływ na organizm ludzki należy pamiętać, iż azbest jest praktycznie niezniszczalny, zaś groźny dla zdrowia ludzi jest wtedy, gdy jego elementarne włókna znajdują się we wdychanym powietrzu. Azbest zabezpieczony w sposób uniemożliwiający uwolnienie się włókien do powietrza nie stanowi żadnego zagrożenia dla zdrowia.</w:t>
      </w:r>
    </w:p>
    <w:p>
      <w:pPr>
        <w:pStyle w:val="Normal"/>
        <w:spacing w:lineRule="auto" w:line="360" w:before="0" w:after="0"/>
        <w:ind w:firstLine="709"/>
        <w:jc w:val="both"/>
        <w:rPr>
          <w:rFonts w:ascii="Arial" w:hAnsi="Arial" w:cs="Arial"/>
        </w:rPr>
      </w:pPr>
      <w:r>
        <w:rPr>
          <w:rFonts w:cs="Arial" w:ascii="Arial" w:hAnsi="Arial"/>
        </w:rPr>
      </w:r>
    </w:p>
    <w:p>
      <w:pPr>
        <w:pStyle w:val="Nagwek2"/>
        <w:jc w:val="both"/>
        <w:rPr>
          <w:rFonts w:cs="Arial"/>
        </w:rPr>
      </w:pPr>
      <w:bookmarkStart w:id="30" w:name="_Toc335395337"/>
      <w:bookmarkStart w:id="31" w:name="_Toc20296862"/>
      <w:r>
        <w:rPr>
          <w:rFonts w:eastAsia="Calibri"/>
        </w:rPr>
        <w:t>2.3. Informowanie o ryzyku związanym z narażeniem na azbest występujący w środowisku</w:t>
      </w:r>
      <w:bookmarkEnd w:id="30"/>
      <w:bookmarkEnd w:id="31"/>
    </w:p>
    <w:p>
      <w:pPr>
        <w:pStyle w:val="Normal"/>
        <w:rPr/>
      </w:pPr>
      <w:r>
        <w:rPr/>
      </w:r>
    </w:p>
    <w:p>
      <w:pPr>
        <w:pStyle w:val="Normal"/>
        <w:spacing w:lineRule="auto" w:line="360" w:before="0" w:after="0"/>
        <w:ind w:firstLine="709"/>
        <w:jc w:val="both"/>
        <w:rPr>
          <w:rFonts w:ascii="Arial" w:hAnsi="Arial" w:cs="Arial"/>
        </w:rPr>
      </w:pPr>
      <w:r>
        <w:rPr>
          <w:rFonts w:cs="Arial" w:ascii="Arial" w:hAnsi="Arial"/>
        </w:rPr>
        <w:t>Głównym celem informowania o ryzyku jest dostarczenie informacji o zagrożeniu osobom i społecznościom narażonym na szkodliwe dla zdrowia czynniki środowiskowe (zgodnie z zasadami wynikającymi z odpowiednich przepisów prawnych). Uzyskane informacje stanowią podstawę do opracowywania różnych wariantów strategii zmniejszania ryzyka, które brane są pod uwagę przy podejmowaniu decyzji dotyczących ich wdrażania.</w:t>
      </w:r>
    </w:p>
    <w:p>
      <w:pPr>
        <w:pStyle w:val="Normal"/>
        <w:tabs>
          <w:tab w:val="left" w:pos="284" w:leader="none"/>
        </w:tabs>
        <w:spacing w:lineRule="auto" w:line="360" w:before="0" w:after="0"/>
        <w:ind w:firstLine="709"/>
        <w:jc w:val="both"/>
        <w:rPr>
          <w:rFonts w:ascii="Arial" w:hAnsi="Arial" w:cs="Arial"/>
        </w:rPr>
      </w:pPr>
      <w:r>
        <w:rPr>
          <w:rFonts w:cs="Arial" w:ascii="Arial" w:hAnsi="Arial"/>
        </w:rPr>
        <w:t xml:space="preserve">Proces informowania i rzetelności przekazywanej informacji zależą zarówno od poziomu merytorycznego, możliwości i umiejętności oceny oszacowania ryzyka, jak i od warunków polityczno-społecznych (polityka informacyjna, wolna prasa współpracująca ze specjalistami oceniającymi zagrożenie, itp.). </w:t>
      </w:r>
    </w:p>
    <w:p>
      <w:pPr>
        <w:pStyle w:val="Normal"/>
        <w:spacing w:lineRule="auto" w:line="360" w:before="0" w:after="0"/>
        <w:ind w:firstLine="709"/>
        <w:jc w:val="both"/>
        <w:rPr>
          <w:rFonts w:ascii="Arial" w:hAnsi="Arial" w:cs="Arial"/>
        </w:rPr>
      </w:pPr>
      <w:r>
        <w:rPr>
          <w:rFonts w:cs="Arial" w:ascii="Arial" w:hAnsi="Arial"/>
        </w:rPr>
        <w:t xml:space="preserve">Zgodnie z definicją zaproponowaną przez Narodową Radę ds. Badań Naukowych Stanów Zjednoczonych „Informowanie o ryzyku jest procesem wzajemnego współdziałania jednostek, grup i instytucji w wymianie informacji i opinii o istocie zagrożenia (...)". Pod hasłem „współdziałanie" należy rozumieć współpracę ze społeczeństwem specjalistów oceniających ryzyko ze specjalistami zajmującymi się zarządzaniem ryzykiem, a więc: epidemiologów, przedstawicieli ministerstwa zdrowia, środowiska, przemysłu, a także grup zaangażowanych w problematykę ochrony środowiska. </w:t>
      </w:r>
    </w:p>
    <w:p>
      <w:pPr>
        <w:pStyle w:val="Normal"/>
        <w:spacing w:lineRule="auto" w:line="360" w:before="0" w:after="0"/>
        <w:ind w:firstLine="709"/>
        <w:jc w:val="both"/>
        <w:rPr>
          <w:rFonts w:ascii="Arial" w:hAnsi="Arial" w:cs="Arial"/>
        </w:rPr>
      </w:pPr>
      <w:r>
        <w:rPr>
          <w:rFonts w:cs="Arial" w:ascii="Arial" w:hAnsi="Arial"/>
        </w:rPr>
        <w:t xml:space="preserve">Informowanie społeczności o ryzyku związanym z narażeniem na czynniki szkodliwe (w tym azbest) jest sprawą delikatną i bardzo trudną, wymagającą angażowania opinii publicznej w proces szacowania ryzyka i informowania o nim. Istotne znaczenie odgrywa właściwe rozeznanie podstawowych zagadnień przez wszystkich zainteresowanych partnerów. </w:t>
      </w:r>
    </w:p>
    <w:p>
      <w:pPr>
        <w:pStyle w:val="Normal"/>
        <w:spacing w:lineRule="auto" w:line="360" w:before="0" w:after="0"/>
        <w:ind w:firstLine="709"/>
        <w:jc w:val="both"/>
        <w:rPr>
          <w:rFonts w:ascii="Arial" w:hAnsi="Arial" w:cs="Arial"/>
        </w:rPr>
      </w:pPr>
      <w:r>
        <w:rPr>
          <w:rFonts w:cs="Arial" w:ascii="Arial" w:hAnsi="Arial"/>
        </w:rPr>
        <w:t>Agencja Ochrony Środowiska (EPA – Environmental Protection Agency) opublikowała szereg dokumentów zawierających zasady informowania o ryzyku. Powszechnie stosuje się siedem podstawowych zasad:</w:t>
      </w:r>
    </w:p>
    <w:p>
      <w:pPr>
        <w:pStyle w:val="Normal"/>
        <w:numPr>
          <w:ilvl w:val="0"/>
          <w:numId w:val="3"/>
        </w:numPr>
        <w:spacing w:lineRule="auto" w:line="360" w:before="0" w:after="0"/>
        <w:jc w:val="both"/>
        <w:rPr>
          <w:rFonts w:ascii="Arial" w:hAnsi="Arial" w:cs="Arial"/>
        </w:rPr>
      </w:pPr>
      <w:r>
        <w:rPr>
          <w:rFonts w:cs="Arial" w:ascii="Arial" w:hAnsi="Arial"/>
        </w:rPr>
        <w:t>Akceptuj i angażuj społeczność jako równorzędnego partnera,</w:t>
      </w:r>
    </w:p>
    <w:p>
      <w:pPr>
        <w:pStyle w:val="Normal"/>
        <w:numPr>
          <w:ilvl w:val="0"/>
          <w:numId w:val="3"/>
        </w:numPr>
        <w:spacing w:lineRule="auto" w:line="360" w:before="0" w:after="0"/>
        <w:jc w:val="both"/>
        <w:rPr>
          <w:rFonts w:ascii="Arial" w:hAnsi="Arial" w:cs="Arial"/>
        </w:rPr>
      </w:pPr>
      <w:r>
        <w:rPr>
          <w:rFonts w:cs="Arial" w:ascii="Arial" w:hAnsi="Arial"/>
        </w:rPr>
        <w:t>Starannie planuj sposób przekazywania informacji o zagrożeniu, a następnie oceniaj wyniki komunikowania się,</w:t>
      </w:r>
    </w:p>
    <w:p>
      <w:pPr>
        <w:pStyle w:val="Normal"/>
        <w:numPr>
          <w:ilvl w:val="0"/>
          <w:numId w:val="3"/>
        </w:numPr>
        <w:spacing w:lineRule="auto" w:line="360" w:before="0" w:after="0"/>
        <w:jc w:val="both"/>
        <w:rPr>
          <w:rFonts w:ascii="Arial" w:hAnsi="Arial" w:cs="Arial"/>
        </w:rPr>
      </w:pPr>
      <w:r>
        <w:rPr>
          <w:rFonts w:cs="Arial" w:ascii="Arial" w:hAnsi="Arial"/>
        </w:rPr>
        <w:t>Uważnie słuchaj tego, co mają ci do przekazania inni,</w:t>
      </w:r>
    </w:p>
    <w:p>
      <w:pPr>
        <w:pStyle w:val="Normal"/>
        <w:numPr>
          <w:ilvl w:val="0"/>
          <w:numId w:val="3"/>
        </w:numPr>
        <w:spacing w:lineRule="auto" w:line="360" w:before="0" w:after="0"/>
        <w:jc w:val="both"/>
        <w:rPr>
          <w:rFonts w:ascii="Arial" w:hAnsi="Arial" w:cs="Arial"/>
        </w:rPr>
      </w:pPr>
      <w:r>
        <w:rPr>
          <w:rFonts w:cs="Arial" w:ascii="Arial" w:hAnsi="Arial"/>
        </w:rPr>
        <w:t>Bądź uczciwy, szczery i otwarty,</w:t>
      </w:r>
    </w:p>
    <w:p>
      <w:pPr>
        <w:pStyle w:val="Normal"/>
        <w:numPr>
          <w:ilvl w:val="0"/>
          <w:numId w:val="3"/>
        </w:numPr>
        <w:spacing w:lineRule="auto" w:line="360" w:before="0" w:after="0"/>
        <w:jc w:val="both"/>
        <w:rPr>
          <w:rFonts w:ascii="Arial" w:hAnsi="Arial" w:cs="Arial"/>
        </w:rPr>
      </w:pPr>
      <w:r>
        <w:rPr>
          <w:rFonts w:cs="Arial" w:ascii="Arial" w:hAnsi="Arial"/>
        </w:rPr>
        <w:t>Koordynuj wysiłki i współpracuj z innymi (grupami, ośrodkami) w procesie przekazywania informacji,</w:t>
      </w:r>
    </w:p>
    <w:p>
      <w:pPr>
        <w:pStyle w:val="Normal"/>
        <w:numPr>
          <w:ilvl w:val="0"/>
          <w:numId w:val="3"/>
        </w:numPr>
        <w:spacing w:lineRule="auto" w:line="360" w:before="0" w:after="0"/>
        <w:jc w:val="both"/>
        <w:rPr>
          <w:rFonts w:ascii="Arial" w:hAnsi="Arial" w:cs="Arial"/>
        </w:rPr>
      </w:pPr>
      <w:r>
        <w:rPr>
          <w:rFonts w:cs="Arial" w:ascii="Arial" w:hAnsi="Arial"/>
        </w:rPr>
        <w:t>Nawiązuj współpracę ze środkami masowego przekazu i przekazuj informacje przygotowane zgodnie z regułami środków masowego przekazu,</w:t>
      </w:r>
    </w:p>
    <w:p>
      <w:pPr>
        <w:pStyle w:val="Normal"/>
        <w:numPr>
          <w:ilvl w:val="0"/>
          <w:numId w:val="3"/>
        </w:numPr>
        <w:spacing w:lineRule="auto" w:line="360" w:before="0" w:after="0"/>
        <w:jc w:val="both"/>
        <w:rPr>
          <w:rFonts w:ascii="Arial" w:hAnsi="Arial" w:cs="Arial"/>
        </w:rPr>
      </w:pPr>
      <w:r>
        <w:rPr>
          <w:rFonts w:cs="Arial" w:ascii="Arial" w:hAnsi="Arial"/>
        </w:rPr>
        <w:t>Mów jasno i życzliwie.</w:t>
      </w:r>
    </w:p>
    <w:p>
      <w:pPr>
        <w:pStyle w:val="Normal"/>
        <w:spacing w:lineRule="auto" w:line="360" w:before="0" w:after="0"/>
        <w:ind w:left="720" w:hanging="0"/>
        <w:jc w:val="both"/>
        <w:rPr>
          <w:rFonts w:ascii="Arial" w:hAnsi="Arial" w:cs="Arial"/>
        </w:rPr>
      </w:pPr>
      <w:r>
        <w:rPr>
          <w:rFonts w:cs="Arial" w:ascii="Arial" w:hAnsi="Arial"/>
        </w:rPr>
      </w:r>
    </w:p>
    <w:p>
      <w:pPr>
        <w:pStyle w:val="Nagwek2"/>
        <w:rPr/>
      </w:pPr>
      <w:bookmarkStart w:id="32" w:name="_Toc335395338"/>
      <w:bookmarkStart w:id="33" w:name="_Toc20296863"/>
      <w:r>
        <w:rPr/>
        <w:t>2.3.1.Ograniczenie negatywnych skutków oddziaływania azbestu</w:t>
      </w:r>
      <w:bookmarkEnd w:id="32"/>
      <w:bookmarkEnd w:id="33"/>
    </w:p>
    <w:p>
      <w:pPr>
        <w:pStyle w:val="Normal"/>
        <w:jc w:val="both"/>
        <w:rPr>
          <w:rFonts w:ascii="Arial" w:hAnsi="Arial" w:cs="Arial"/>
          <w:b/>
          <w:b/>
          <w:sz w:val="24"/>
          <w:szCs w:val="24"/>
        </w:rPr>
      </w:pPr>
      <w:r>
        <w:rPr>
          <w:rFonts w:cs="Arial" w:ascii="Arial" w:hAnsi="Arial"/>
          <w:b/>
          <w:sz w:val="24"/>
          <w:szCs w:val="24"/>
        </w:rPr>
      </w:r>
    </w:p>
    <w:p>
      <w:pPr>
        <w:pStyle w:val="Normal"/>
        <w:spacing w:lineRule="auto" w:line="360" w:before="0" w:after="0"/>
        <w:ind w:firstLine="709"/>
        <w:jc w:val="both"/>
        <w:rPr>
          <w:rFonts w:ascii="Arial" w:hAnsi="Arial" w:cs="Arial"/>
        </w:rPr>
      </w:pPr>
      <w:r>
        <w:rPr>
          <w:rFonts w:cs="Arial" w:ascii="Arial" w:hAnsi="Arial"/>
        </w:rPr>
        <w:t>Specyficzne właściwości fizyko-chemiczne odmian azbestu takie jak wytrzymałość, ognioodporność, elastyczność, złe przewodnictwo cieplne i elektryczne, spora dźwiękochłonność, znaczna odporność na działania różnorodnych czynników chemicznych umożliwiły, z jednej strony jego powszechne zastosowanie w bardzo szerokim zakresie, a z drugiej strony, za sprawą tych samych właściwości odpady azbestowe w postaci zużytych wyrobów z różnym jego udziałem, są niezwykle trudne do unieszkodliwiania. Główne czynniki jakie wpływają na zmniejszenie trwałości wyrobów zawierających azbest jest oddziaływanie mechaniczne oraz brak konserwacji materiału. Podstawą bezpiecznego postępowania z materiałami zawierającymi azbest jest eliminacja lub co najmniej minimalizacja ryzyka emisji włókien azbestu do otoczenia w skutek działań mechanicznych i złej konserwacji materiału. Zatem dopuszczalna jest eksploatacja materiałów zawierających azbest w dobrym stanie technicznym, o nieuszkodzonej powierzchni, ewentualnie odpowiednio zabezpieczonej np. przez pomalowanie. W wypadku usuwania takich materiałów konieczne jest ich zwilżenie wodą, usuwanie, gdy jest to możliwe wyrobów w całości, unikając ich łamania i przy zachowaniu pracy ręcznej, oraz przy zabezpieczeniu – odizolowaniu pola prac od otoczenia. Odpowiednie oddzielenie pola prac od otoczenia ma zapobiegać ewentualnemu skażeniu azbestem. Na stanowisku pracy należy monitorować stężenia włókien azbestu w powietrzu, a po zakończeniu prac sprawdzić na okoliczność ewentualnego wystąpienia azbestu (czystość) miejsce prac i najbliższe otoczenie. Należy mieć świadomość, że pojęcie stężeń dopuszczalnych w przypadku azbestu (tak jak innych substancji rakotwórczych) jest umowna i stanowi kompromis między wymaganiami medycyny a możliwościami techniki. Tendencją działań UE jest ograniczenie NDS (najwyższe dopuszczalne stężenia) do możliwego minimum.</w:t>
      </w:r>
    </w:p>
    <w:p>
      <w:pPr>
        <w:pStyle w:val="Normal"/>
        <w:spacing w:lineRule="auto" w:line="360" w:before="0" w:after="0"/>
        <w:ind w:firstLine="709"/>
        <w:jc w:val="both"/>
        <w:rPr>
          <w:rFonts w:ascii="Arial" w:hAnsi="Arial" w:cs="Arial"/>
        </w:rPr>
      </w:pPr>
      <w:r>
        <w:rPr>
          <w:rFonts w:cs="Arial" w:ascii="Arial" w:hAnsi="Arial"/>
        </w:rPr>
        <w:t>Skala problemu związanego z usuwaniem i unieszkodliwianiem odpadów zawierających azbest jest ogromna ze względu na dużą ich ilość. Dlatego dąży się obecnie do opracowania nowych sposobów unieszkodliwiania azbestu. Taką metodę o nazwie MTT opracowała firma ATON-HT. Ta innowacyjna metoda polega na zastosowaniu termicznej destrukcji niebezpiecznych włókien azbestowych poprzez nagrzewanie ich energią mikrofalową. Podczas tego procesu odpad zawierający azbest po wstępnym skruszeniu ulega nagrzaniu do temp. 900-1100ºC, a następnie struktura krystaliczna włókien ulega przemianie w formę bezpostaciową.</w:t>
      </w:r>
    </w:p>
    <w:p>
      <w:pPr>
        <w:pStyle w:val="Normal"/>
        <w:ind w:left="360" w:hanging="0"/>
        <w:jc w:val="both"/>
        <w:rPr>
          <w:rFonts w:ascii="Arial" w:hAnsi="Arial" w:cs="Arial"/>
        </w:rPr>
      </w:pPr>
      <w:r>
        <w:rPr>
          <w:rFonts w:cs="Arial" w:ascii="Arial" w:hAnsi="Arial"/>
        </w:rPr>
        <w:t>Zalety tej metody to:</w:t>
      </w:r>
    </w:p>
    <w:p>
      <w:pPr>
        <w:pStyle w:val="ListParagraph"/>
        <w:numPr>
          <w:ilvl w:val="0"/>
          <w:numId w:val="44"/>
        </w:numPr>
        <w:spacing w:lineRule="auto" w:line="360" w:before="0" w:after="0"/>
        <w:ind w:left="1077" w:hanging="357"/>
        <w:contextualSpacing/>
        <w:jc w:val="both"/>
        <w:rPr>
          <w:rFonts w:ascii="Arial" w:hAnsi="Arial" w:cs="Arial"/>
        </w:rPr>
      </w:pPr>
      <w:r>
        <w:rPr>
          <w:rFonts w:cs="Arial" w:ascii="Arial" w:hAnsi="Arial"/>
        </w:rPr>
        <w:t>bezpieczeństwo technologii dla otoczenia,</w:t>
      </w:r>
    </w:p>
    <w:p>
      <w:pPr>
        <w:pStyle w:val="ListParagraph"/>
        <w:numPr>
          <w:ilvl w:val="0"/>
          <w:numId w:val="44"/>
        </w:numPr>
        <w:spacing w:lineRule="auto" w:line="360" w:before="0" w:after="0"/>
        <w:ind w:left="1077" w:hanging="357"/>
        <w:contextualSpacing/>
        <w:jc w:val="both"/>
        <w:rPr>
          <w:rFonts w:ascii="Arial" w:hAnsi="Arial" w:cs="Arial"/>
        </w:rPr>
      </w:pPr>
      <w:r>
        <w:rPr>
          <w:rFonts w:cs="Arial" w:ascii="Arial" w:hAnsi="Arial"/>
        </w:rPr>
        <w:t>proces bezodpadowy,</w:t>
      </w:r>
    </w:p>
    <w:p>
      <w:pPr>
        <w:pStyle w:val="ListParagraph"/>
        <w:numPr>
          <w:ilvl w:val="0"/>
          <w:numId w:val="44"/>
        </w:numPr>
        <w:spacing w:lineRule="auto" w:line="360" w:before="0" w:after="0"/>
        <w:ind w:left="1077" w:hanging="357"/>
        <w:contextualSpacing/>
        <w:jc w:val="both"/>
        <w:rPr>
          <w:rFonts w:ascii="Arial" w:hAnsi="Arial" w:cs="Arial"/>
        </w:rPr>
      </w:pPr>
      <w:r>
        <w:rPr>
          <w:rFonts w:cs="Arial" w:ascii="Arial" w:hAnsi="Arial"/>
        </w:rPr>
        <w:t>linia technologiczna przewoźna na dwóch kontenerach, do montażu na miejscu,</w:t>
      </w:r>
    </w:p>
    <w:p>
      <w:pPr>
        <w:pStyle w:val="ListParagraph"/>
        <w:numPr>
          <w:ilvl w:val="0"/>
          <w:numId w:val="44"/>
        </w:numPr>
        <w:spacing w:lineRule="auto" w:line="360" w:before="0" w:after="0"/>
        <w:ind w:left="1077" w:hanging="357"/>
        <w:contextualSpacing/>
        <w:jc w:val="both"/>
        <w:rPr>
          <w:rFonts w:ascii="Arial" w:hAnsi="Arial" w:cs="Arial"/>
        </w:rPr>
      </w:pPr>
      <w:r>
        <w:rPr>
          <w:rFonts w:cs="Arial" w:ascii="Arial" w:hAnsi="Arial"/>
        </w:rPr>
        <w:t>konkurencyjny koszt w stosunku do metody składowania,</w:t>
      </w:r>
    </w:p>
    <w:p>
      <w:pPr>
        <w:pStyle w:val="ListParagraph"/>
        <w:numPr>
          <w:ilvl w:val="0"/>
          <w:numId w:val="44"/>
        </w:numPr>
        <w:spacing w:lineRule="auto" w:line="360" w:before="0" w:after="0"/>
        <w:ind w:left="1077" w:hanging="357"/>
        <w:contextualSpacing/>
        <w:jc w:val="both"/>
        <w:rPr>
          <w:rFonts w:ascii="Arial" w:hAnsi="Arial" w:cs="Arial"/>
        </w:rPr>
      </w:pPr>
      <w:r>
        <w:rPr>
          <w:rFonts w:cs="Arial" w:ascii="Arial" w:hAnsi="Arial"/>
        </w:rPr>
        <w:t>proces unieszkodliwiania w pełni zgodny z regulacjami wprowadzonymi na  terenie Unii Europejskiej.</w:t>
      </w:r>
    </w:p>
    <w:p>
      <w:pPr>
        <w:pStyle w:val="Normal"/>
        <w:spacing w:lineRule="auto" w:line="360" w:before="0" w:after="0"/>
        <w:jc w:val="both"/>
        <w:rPr>
          <w:rFonts w:ascii="Arial" w:hAnsi="Arial" w:cs="Arial"/>
        </w:rPr>
      </w:pPr>
      <w:r>
        <w:rPr>
          <w:rFonts w:cs="Arial" w:ascii="Arial" w:hAnsi="Arial"/>
        </w:rPr>
      </w:r>
    </w:p>
    <w:p>
      <w:pPr>
        <w:pStyle w:val="Normal"/>
        <w:spacing w:lineRule="auto" w:line="240" w:before="0" w:after="0"/>
        <w:rPr/>
      </w:pPr>
      <w:r>
        <w:rPr/>
      </w:r>
      <w:r>
        <w:br w:type="page"/>
      </w:r>
    </w:p>
    <w:p>
      <w:pPr>
        <w:pStyle w:val="Nagwek1"/>
        <w:jc w:val="both"/>
        <w:rPr>
          <w:szCs w:val="28"/>
        </w:rPr>
      </w:pPr>
      <w:bookmarkStart w:id="34" w:name="_Toc20296864"/>
      <w:bookmarkStart w:id="35" w:name="_Toc335395339"/>
      <w:r>
        <w:rPr>
          <w:szCs w:val="28"/>
        </w:rPr>
        <w:t>3. STAN PRAWNY W ZAKRESIE UŻYTKOWANIA I USUWANIA WYROBÓW I ODPADÓW ZAWIERAJĄCYCH AZBEST</w:t>
      </w:r>
      <w:bookmarkEnd w:id="34"/>
      <w:bookmarkEnd w:id="35"/>
    </w:p>
    <w:p>
      <w:pPr>
        <w:pStyle w:val="Normal"/>
        <w:rPr/>
      </w:pPr>
      <w:r>
        <w:rPr/>
      </w:r>
    </w:p>
    <w:p>
      <w:pPr>
        <w:pStyle w:val="Normal"/>
        <w:spacing w:lineRule="auto" w:line="360" w:before="0" w:after="0"/>
        <w:ind w:firstLine="709"/>
        <w:jc w:val="both"/>
        <w:rPr>
          <w:rFonts w:ascii="Arial" w:hAnsi="Arial" w:cs="Arial"/>
          <w:color w:val="FF0000"/>
        </w:rPr>
      </w:pPr>
      <w:r>
        <w:rPr>
          <w:rFonts w:cs="Arial" w:ascii="Arial" w:hAnsi="Arial"/>
        </w:rPr>
        <w:t>Procedury postępowania z wyrobami i odpadami zawierającymi azbest oraz przepisy prawne dotyczące azbestu regulują szerokie spektrum zagadnień, a co z tym się wiąże znajdują się w wielu aktach prawnych. Regulacje prawne dotyczące azbestu i wyrobów zawierających azbest zostały oparte na przepisach obowiązujących w Unii Europejskiej.</w:t>
      </w:r>
    </w:p>
    <w:p>
      <w:pPr>
        <w:pStyle w:val="Normal"/>
        <w:spacing w:lineRule="auto" w:line="360" w:before="0" w:after="0"/>
        <w:ind w:firstLine="709"/>
        <w:jc w:val="both"/>
        <w:rPr>
          <w:rFonts w:ascii="Arial" w:hAnsi="Arial" w:cs="Arial"/>
          <w:color w:val="000000"/>
        </w:rPr>
      </w:pPr>
      <w:r>
        <w:rPr>
          <w:rFonts w:cs="Arial" w:ascii="Arial" w:hAnsi="Arial"/>
          <w:color w:val="000000"/>
        </w:rPr>
        <w:t>W niniejszym opracowaniu omówiono podstawowe akty prawne, regulujące zasady postępowania z azbestem oraz z wyrobami go zawierającymi na terytorium Polski.</w:t>
      </w:r>
    </w:p>
    <w:p>
      <w:pPr>
        <w:pStyle w:val="Nagwek2"/>
        <w:rPr/>
      </w:pPr>
      <w:bookmarkStart w:id="36" w:name="_Toc331346065"/>
      <w:bookmarkStart w:id="37" w:name="_Toc335395340"/>
      <w:bookmarkStart w:id="38" w:name="_Toc20296865"/>
      <w:r>
        <w:rPr/>
        <w:t>3.1. Regulacje ustawowe</w:t>
      </w:r>
      <w:bookmarkEnd w:id="36"/>
      <w:bookmarkEnd w:id="37"/>
      <w:bookmarkEnd w:id="38"/>
      <w:r>
        <w:rPr/>
        <w:br/>
      </w:r>
    </w:p>
    <w:p>
      <w:pPr>
        <w:pStyle w:val="Style67"/>
        <w:widowControl/>
        <w:numPr>
          <w:ilvl w:val="0"/>
          <w:numId w:val="4"/>
        </w:numPr>
        <w:tabs>
          <w:tab w:val="left" w:pos="350" w:leader="none"/>
        </w:tabs>
        <w:spacing w:lineRule="auto" w:line="360"/>
        <w:ind w:left="360" w:right="5" w:hanging="360"/>
        <w:rPr>
          <w:rStyle w:val="FontStyle173"/>
          <w:rFonts w:ascii="Arial" w:hAnsi="Arial" w:cs="Arial"/>
          <w:b/>
          <w:b/>
          <w:bCs/>
          <w:sz w:val="22"/>
          <w:szCs w:val="22"/>
        </w:rPr>
      </w:pPr>
      <w:r>
        <w:rPr>
          <w:rFonts w:cs="Arial" w:ascii="Arial" w:hAnsi="Arial"/>
          <w:i/>
          <w:iCs/>
          <w:sz w:val="22"/>
          <w:szCs w:val="22"/>
        </w:rPr>
        <w:t>Ustawa z dnia 19 czerwca 1997 r. o zakazie stosowania wyrobów zawierających azbest</w:t>
      </w:r>
      <w:r>
        <w:rPr>
          <w:rFonts w:cs="Arial" w:ascii="Arial" w:hAnsi="Arial"/>
          <w:i/>
          <w:sz w:val="22"/>
          <w:szCs w:val="22"/>
        </w:rPr>
        <w:t xml:space="preserve"> </w:t>
        <w:br/>
        <w:t>(t.j.</w:t>
      </w:r>
      <w:r>
        <w:rPr>
          <w:rFonts w:cs="Arial" w:ascii="Arial" w:hAnsi="Arial"/>
          <w:i/>
        </w:rPr>
        <w:t xml:space="preserve"> </w:t>
      </w:r>
      <w:r>
        <w:rPr>
          <w:rFonts w:cs="Arial" w:ascii="Arial" w:hAnsi="Arial"/>
          <w:i/>
          <w:sz w:val="22"/>
          <w:szCs w:val="22"/>
        </w:rPr>
        <w:t>Dz.U. 2017 poz. 2119)</w:t>
      </w:r>
      <w:r>
        <w:rPr>
          <w:rFonts w:cs="Arial" w:ascii="Arial" w:hAnsi="Arial"/>
          <w:sz w:val="22"/>
          <w:szCs w:val="22"/>
        </w:rPr>
        <w:t xml:space="preserve">. Ustawa zakazuje wprowadzania na obszar kraju azbestu, wyrobów zawierających azbest oraz obrotu azbestem i wyrobami zawierającymi azbest. </w:t>
      </w:r>
      <w:r>
        <w:rPr>
          <w:rStyle w:val="FontStyle173"/>
          <w:rFonts w:cs="Arial" w:ascii="Arial" w:hAnsi="Arial"/>
          <w:sz w:val="22"/>
          <w:szCs w:val="22"/>
        </w:rPr>
        <w:t xml:space="preserve">Nowelizacja wprowadzona ustawą z dnia 22 grudnia 2004 r. </w:t>
      </w:r>
      <w:r>
        <w:rPr>
          <w:rStyle w:val="FontStyle173"/>
          <w:rFonts w:cs="Arial" w:ascii="Arial" w:hAnsi="Arial"/>
          <w:i/>
          <w:sz w:val="22"/>
          <w:szCs w:val="22"/>
        </w:rPr>
        <w:t>„o zmianie ustawy o zakazie stosowania wyrobów zawierających azbest"</w:t>
      </w:r>
      <w:r>
        <w:rPr>
          <w:rStyle w:val="FontStyle173"/>
          <w:rFonts w:cs="Arial" w:ascii="Arial" w:hAnsi="Arial"/>
          <w:sz w:val="22"/>
          <w:szCs w:val="22"/>
        </w:rPr>
        <w:t xml:space="preserve"> (Dz. U. z 2005 Nr 10, poz. 72) stanowi, że od dnia 1 stycznia 2005 r. w Polsce - podobnie jak w całej Unii Europejskiej – obowiązuje zakaz stosowania </w:t>
        <w:br/>
        <w:t>i obrotu azbestem i wyrobami zawierającymi azbest.</w:t>
      </w:r>
    </w:p>
    <w:p>
      <w:pPr>
        <w:pStyle w:val="Style67"/>
        <w:widowControl/>
        <w:tabs>
          <w:tab w:val="left" w:pos="350" w:leader="none"/>
        </w:tabs>
        <w:spacing w:lineRule="auto" w:line="360"/>
        <w:ind w:left="360" w:right="5" w:hanging="0"/>
        <w:rPr>
          <w:rFonts w:ascii="Arial" w:hAnsi="Arial" w:cs="Arial"/>
          <w:b/>
          <w:b/>
          <w:bCs/>
          <w:color w:val="00B050"/>
          <w:sz w:val="22"/>
          <w:szCs w:val="22"/>
        </w:rPr>
      </w:pPr>
      <w:r>
        <w:rPr>
          <w:rFonts w:cs="Arial" w:ascii="Arial" w:hAnsi="Arial"/>
          <w:b/>
          <w:bCs/>
          <w:color w:val="00B050"/>
          <w:sz w:val="22"/>
          <w:szCs w:val="22"/>
        </w:rPr>
      </w:r>
    </w:p>
    <w:p>
      <w:pPr>
        <w:pStyle w:val="Normal"/>
        <w:numPr>
          <w:ilvl w:val="0"/>
          <w:numId w:val="4"/>
        </w:numPr>
        <w:spacing w:lineRule="auto" w:line="360" w:before="0" w:after="0"/>
        <w:jc w:val="both"/>
        <w:rPr>
          <w:rStyle w:val="FontStyle173"/>
          <w:rFonts w:ascii="Arial" w:hAnsi="Arial" w:eastAsia="Times New Roman" w:cs="Arial"/>
          <w:sz w:val="22"/>
          <w:szCs w:val="22"/>
        </w:rPr>
      </w:pPr>
      <w:r>
        <w:rPr>
          <w:rFonts w:cs="Arial" w:ascii="Arial" w:hAnsi="Arial"/>
          <w:i/>
          <w:iCs/>
        </w:rPr>
        <w:t>Ustawa z dnia 7 lipca 1994 r. –– Prawo budowlane</w:t>
      </w:r>
      <w:r>
        <w:rPr>
          <w:rFonts w:cs="Arial" w:ascii="Arial" w:hAnsi="Arial"/>
          <w:i/>
        </w:rPr>
        <w:t xml:space="preserve"> (t.j. Dz.U. 2019 poz. 1186 </w:t>
      </w:r>
      <w:r>
        <w:rPr>
          <w:rStyle w:val="FontStyle173"/>
          <w:rFonts w:cs="Arial" w:ascii="Arial" w:hAnsi="Arial"/>
          <w:i/>
          <w:sz w:val="22"/>
          <w:szCs w:val="22"/>
        </w:rPr>
        <w:t>).</w:t>
      </w:r>
      <w:r>
        <w:rPr>
          <w:rStyle w:val="FontStyle173"/>
          <w:rFonts w:cs="Arial" w:ascii="Arial" w:hAnsi="Arial"/>
          <w:sz w:val="22"/>
          <w:szCs w:val="22"/>
        </w:rPr>
        <w:t xml:space="preserve"> Określa postępowanie poprzedzające rozpoczęcie robót budowlanych oraz wskazuje konsekwencje karne.</w:t>
      </w:r>
    </w:p>
    <w:p>
      <w:pPr>
        <w:pStyle w:val="ListParagraph"/>
        <w:rPr>
          <w:rStyle w:val="FontStyle173"/>
          <w:rFonts w:ascii="Arial" w:hAnsi="Arial" w:cs="Arial"/>
          <w:sz w:val="22"/>
          <w:szCs w:val="22"/>
        </w:rPr>
      </w:pPr>
      <w:r>
        <w:rPr>
          <w:rFonts w:cs="Arial" w:ascii="Arial" w:hAnsi="Arial"/>
          <w:sz w:val="22"/>
          <w:szCs w:val="22"/>
        </w:rPr>
      </w:r>
    </w:p>
    <w:p>
      <w:pPr>
        <w:pStyle w:val="Normal"/>
        <w:numPr>
          <w:ilvl w:val="0"/>
          <w:numId w:val="4"/>
        </w:numPr>
        <w:spacing w:lineRule="auto" w:line="360" w:before="0" w:after="0"/>
        <w:jc w:val="both"/>
        <w:rPr>
          <w:rFonts w:ascii="Arial" w:hAnsi="Arial" w:cs="Arial"/>
        </w:rPr>
      </w:pPr>
      <w:r>
        <w:rPr>
          <w:rStyle w:val="FontStyle173"/>
          <w:rFonts w:cs="Arial" w:ascii="Arial" w:hAnsi="Arial"/>
          <w:i/>
          <w:sz w:val="22"/>
          <w:szCs w:val="22"/>
        </w:rPr>
        <w:t>Ustawa z dnia 19 sierpnia 2011 r. – o przewozie towarów niebezpiecznych (t.j. Dz.U. 2019 poz. 382).</w:t>
      </w:r>
      <w:r>
        <w:rPr>
          <w:rStyle w:val="FontStyle173"/>
          <w:rFonts w:cs="Arial" w:ascii="Arial" w:hAnsi="Arial"/>
          <w:sz w:val="22"/>
          <w:szCs w:val="22"/>
        </w:rPr>
        <w:t>Określa</w:t>
      </w:r>
      <w:r>
        <w:rPr>
          <w:rFonts w:cs="Arial" w:ascii="Arial" w:hAnsi="Arial"/>
        </w:rPr>
        <w:t xml:space="preserve"> zasady przewozu koleją towarów niebezpiecznych, obowiązki uczestników tego przewozu, zasady dokonywania oceny zgodności ciśnieniowych urządzeń transportowych, uprawnienia doradcy do spraw bezpieczeństwa przewozu oraz organy i jednostki właściwe do sprawowania nadzoru i kontroli w tych sprawach.</w:t>
      </w:r>
    </w:p>
    <w:p>
      <w:pPr>
        <w:pStyle w:val="Normal"/>
        <w:spacing w:lineRule="auto" w:line="360" w:before="0" w:after="0"/>
        <w:ind w:left="360" w:hanging="0"/>
        <w:jc w:val="both"/>
        <w:rPr>
          <w:rFonts w:ascii="Arial" w:hAnsi="Arial" w:cs="Arial"/>
          <w:i/>
          <w:i/>
          <w:iCs/>
          <w:color w:val="00B050"/>
        </w:rPr>
      </w:pPr>
      <w:r>
        <w:rPr>
          <w:rFonts w:cs="Arial" w:ascii="Arial" w:hAnsi="Arial"/>
          <w:i/>
          <w:iCs/>
          <w:color w:val="00B050"/>
        </w:rPr>
      </w:r>
    </w:p>
    <w:p>
      <w:pPr>
        <w:pStyle w:val="Normal"/>
        <w:numPr>
          <w:ilvl w:val="0"/>
          <w:numId w:val="4"/>
        </w:numPr>
        <w:spacing w:lineRule="auto" w:line="360" w:before="0" w:after="0"/>
        <w:jc w:val="both"/>
        <w:rPr>
          <w:rFonts w:ascii="Arial" w:hAnsi="Arial" w:cs="Arial"/>
        </w:rPr>
      </w:pPr>
      <w:r>
        <w:rPr>
          <w:rFonts w:cs="Arial" w:ascii="Arial" w:hAnsi="Arial"/>
          <w:i/>
          <w:iCs/>
        </w:rPr>
        <w:t>Ustawa z dnia 27 kwietnia 2001 r. – Prawo ochrony środowiska</w:t>
      </w:r>
      <w:r>
        <w:rPr>
          <w:rFonts w:cs="Arial" w:ascii="Arial" w:hAnsi="Arial"/>
        </w:rPr>
        <w:t xml:space="preserve"> </w:t>
      </w:r>
      <w:r>
        <w:rPr>
          <w:rFonts w:cs="Arial" w:ascii="Arial" w:hAnsi="Arial"/>
          <w:i/>
        </w:rPr>
        <w:t xml:space="preserve">(t.j. Dz.U. 2019 poz. 1396, </w:t>
        <w:br/>
        <w:t>z późn. zm.).</w:t>
      </w:r>
      <w:r>
        <w:rPr>
          <w:rFonts w:cs="Arial" w:ascii="Arial" w:hAnsi="Arial"/>
        </w:rPr>
        <w:t xml:space="preserve"> Ustawa ta jest podstawowym aktem prawnym w prawodawstwie polskim, regulującym zasady ochrony środowiska oraz warunki korzystania z jego zasobów, z uwzględnieniem wymagań zrównoważonego rozwoju, a szczególności ustaliła m.in. obowiązek składania przez wójtów, burmistrzów i prezydentów miast, a także osoby prawne stosownych informacji o rodzaju, ilości i miejscach występowania substancji stwarzających szczególne zagrożenie dla środowiska (w tym również azbestu). </w:t>
      </w:r>
    </w:p>
    <w:p>
      <w:pPr>
        <w:pStyle w:val="Normal"/>
        <w:spacing w:lineRule="auto" w:line="360" w:before="0" w:after="0"/>
        <w:jc w:val="both"/>
        <w:rPr>
          <w:rFonts w:ascii="Arial" w:hAnsi="Arial" w:cs="Arial"/>
        </w:rPr>
      </w:pPr>
      <w:r>
        <w:rPr>
          <w:rFonts w:cs="Arial" w:ascii="Arial" w:hAnsi="Arial"/>
        </w:rPr>
      </w:r>
    </w:p>
    <w:p>
      <w:pPr>
        <w:pStyle w:val="Normal"/>
        <w:numPr>
          <w:ilvl w:val="0"/>
          <w:numId w:val="4"/>
        </w:numPr>
        <w:spacing w:lineRule="auto" w:line="360" w:before="0" w:after="0"/>
        <w:jc w:val="both"/>
        <w:rPr>
          <w:rFonts w:ascii="Arial" w:hAnsi="Arial" w:cs="Arial"/>
        </w:rPr>
      </w:pPr>
      <w:r>
        <w:rPr>
          <w:rFonts w:cs="Arial" w:ascii="Arial" w:hAnsi="Arial"/>
          <w:i/>
          <w:iCs/>
        </w:rPr>
        <w:t xml:space="preserve">Ustawa z dnia 14 grudnia 2012 r. o </w:t>
      </w:r>
      <w:r>
        <w:rPr>
          <w:rFonts w:cs="Arial" w:ascii="Arial" w:hAnsi="Arial"/>
          <w:i/>
        </w:rPr>
        <w:t>odpadach ( t.j. Dz.U. 2019 poz. 701, z późn. zm.)</w:t>
      </w:r>
      <w:r>
        <w:rPr>
          <w:rFonts w:cs="Arial" w:ascii="Arial" w:hAnsi="Arial"/>
        </w:rPr>
        <w:t>. Ustawa ta między innymi wskazuje definicję wytwórcy i posiadacza odpadów. Kwalifikacja ta oznacza, iż wykonawca winien dopełnić obowiązków wytwórcy odpadów, prowadzenie zbierania odpadów i prowadzenie przetwarzania odpadów wymaga uzyskania zezwolenia.</w:t>
      </w:r>
    </w:p>
    <w:p>
      <w:pPr>
        <w:pStyle w:val="Normal"/>
        <w:spacing w:lineRule="auto" w:line="360" w:before="0" w:after="0"/>
        <w:jc w:val="both"/>
        <w:rPr>
          <w:rFonts w:ascii="Arial" w:hAnsi="Arial" w:cs="Arial"/>
        </w:rPr>
      </w:pPr>
      <w:r>
        <w:rPr>
          <w:rFonts w:cs="Arial" w:ascii="Arial" w:hAnsi="Arial"/>
        </w:rPr>
      </w:r>
    </w:p>
    <w:p>
      <w:pPr>
        <w:pStyle w:val="Normal"/>
        <w:numPr>
          <w:ilvl w:val="0"/>
          <w:numId w:val="4"/>
        </w:numPr>
        <w:spacing w:lineRule="auto" w:line="360" w:before="0" w:after="0"/>
        <w:jc w:val="both"/>
        <w:rPr>
          <w:rStyle w:val="Luchili"/>
          <w:rFonts w:ascii="Arial" w:hAnsi="Arial" w:cs="Arial"/>
        </w:rPr>
      </w:pPr>
      <w:r>
        <w:rPr>
          <w:rFonts w:cs="Arial" w:ascii="Arial" w:hAnsi="Arial"/>
          <w:i/>
        </w:rPr>
        <w:t xml:space="preserve">Ustawa z dnia 26 czerwca 1974 r. Kodeks pracy (t.j. </w:t>
      </w:r>
      <w:r>
        <w:rPr>
          <w:rStyle w:val="H1"/>
          <w:rFonts w:cs="Arial" w:ascii="Arial" w:hAnsi="Arial"/>
          <w:i/>
        </w:rPr>
        <w:t>Dz.U. 2019 poz. 1040, z  późn. zm</w:t>
      </w:r>
      <w:r>
        <w:rPr>
          <w:rFonts w:cs="Arial" w:ascii="Arial" w:hAnsi="Arial"/>
          <w:i/>
        </w:rPr>
        <w:t>).</w:t>
      </w:r>
      <w:r>
        <w:rPr>
          <w:rFonts w:cs="Arial" w:ascii="Arial" w:hAnsi="Arial"/>
        </w:rPr>
        <w:t xml:space="preserve"> Określa zasady w sprawie ochrony pracowników przed ryzykiem związanym z narażeniem na działanie azbestu w miejscu </w:t>
      </w:r>
      <w:r>
        <w:rPr>
          <w:rStyle w:val="Luchili"/>
          <w:rFonts w:cs="Arial" w:ascii="Arial" w:hAnsi="Arial"/>
        </w:rPr>
        <w:t>pracy.</w:t>
      </w:r>
    </w:p>
    <w:p>
      <w:pPr>
        <w:pStyle w:val="ListParagraph"/>
        <w:rPr>
          <w:rStyle w:val="Luchili"/>
          <w:rFonts w:ascii="Arial" w:hAnsi="Arial" w:cs="Arial"/>
        </w:rPr>
      </w:pPr>
      <w:r>
        <w:rPr>
          <w:rFonts w:cs="Arial" w:ascii="Arial" w:hAnsi="Arial"/>
        </w:rPr>
      </w:r>
    </w:p>
    <w:p>
      <w:pPr>
        <w:pStyle w:val="Normal"/>
        <w:numPr>
          <w:ilvl w:val="0"/>
          <w:numId w:val="4"/>
        </w:numPr>
        <w:spacing w:lineRule="auto" w:line="360" w:before="0" w:after="0"/>
        <w:jc w:val="both"/>
        <w:rPr>
          <w:rFonts w:ascii="Arial" w:hAnsi="Arial" w:cs="Arial"/>
          <w:i/>
          <w:i/>
        </w:rPr>
      </w:pPr>
      <w:r>
        <w:rPr>
          <w:rStyle w:val="Luchili"/>
          <w:rFonts w:cs="Arial" w:ascii="Arial" w:hAnsi="Arial"/>
          <w:i/>
        </w:rPr>
        <w:t xml:space="preserve">Ustawa z dnia 3 października 2008 r. o udostępnianiu informacji o środowisku i jego ochronie, udziale społeczeństwa w ochronie środowiska oraz o ocenach oddziaływania na środowisko </w:t>
      </w:r>
      <w:r>
        <w:rPr>
          <w:rFonts w:cs="Arial" w:ascii="Arial" w:hAnsi="Arial"/>
          <w:i/>
        </w:rPr>
        <w:t>(t.j. Dz.U. 2018 poz. 2081, poźn.zm).</w:t>
      </w:r>
    </w:p>
    <w:p>
      <w:pPr>
        <w:pStyle w:val="ListParagraph"/>
        <w:rPr>
          <w:rStyle w:val="Luchili"/>
          <w:rFonts w:ascii="Arial" w:hAnsi="Arial" w:cs="Arial"/>
        </w:rPr>
      </w:pPr>
      <w:r>
        <w:rPr>
          <w:rFonts w:cs="Arial" w:ascii="Arial" w:hAnsi="Arial"/>
        </w:rPr>
      </w:r>
    </w:p>
    <w:p>
      <w:pPr>
        <w:pStyle w:val="Normal"/>
        <w:numPr>
          <w:ilvl w:val="0"/>
          <w:numId w:val="4"/>
        </w:numPr>
        <w:spacing w:lineRule="auto" w:line="360" w:before="0" w:after="0"/>
        <w:jc w:val="both"/>
        <w:rPr>
          <w:rStyle w:val="Luchili"/>
          <w:rFonts w:ascii="Arial" w:hAnsi="Arial" w:cs="Arial"/>
          <w:i/>
          <w:i/>
        </w:rPr>
      </w:pPr>
      <w:r>
        <w:rPr>
          <w:rStyle w:val="Luchili"/>
          <w:rFonts w:cs="Arial" w:ascii="Arial" w:hAnsi="Arial"/>
          <w:i/>
        </w:rPr>
        <w:t xml:space="preserve">Ustawa z dnia 13 września 1996 r. o utrzymaniu czystości i porządku w gminach </w:t>
      </w:r>
      <w:r>
        <w:rPr>
          <w:rFonts w:cs="Arial" w:ascii="Arial" w:hAnsi="Arial"/>
          <w:i/>
        </w:rPr>
        <w:t>(t.j. Dz.U. 2018 poz. 1454, z póź.zm.).</w:t>
      </w:r>
    </w:p>
    <w:p>
      <w:pPr>
        <w:pStyle w:val="Normal"/>
        <w:spacing w:lineRule="auto" w:line="360" w:before="0" w:after="0"/>
        <w:jc w:val="both"/>
        <w:rPr>
          <w:rFonts w:ascii="Arial" w:hAnsi="Arial" w:cs="Arial"/>
        </w:rPr>
      </w:pPr>
      <w:r>
        <w:rPr>
          <w:rFonts w:cs="Arial" w:ascii="Arial" w:hAnsi="Arial"/>
        </w:rPr>
      </w:r>
    </w:p>
    <w:p>
      <w:pPr>
        <w:pStyle w:val="Normal"/>
        <w:numPr>
          <w:ilvl w:val="0"/>
          <w:numId w:val="4"/>
        </w:numPr>
        <w:spacing w:lineRule="auto" w:line="360" w:before="0" w:after="0"/>
        <w:jc w:val="both"/>
        <w:rPr>
          <w:rFonts w:ascii="Arial" w:hAnsi="Arial" w:cs="Arial"/>
          <w:i/>
          <w:i/>
        </w:rPr>
      </w:pPr>
      <w:r>
        <w:rPr>
          <w:rFonts w:cs="Arial" w:ascii="Arial" w:hAnsi="Arial"/>
          <w:i/>
        </w:rPr>
        <w:t>Ustawa z dnia 11 września 2015 r. o zużytym sprzęcie elektrycznym i elektronicznym (</w:t>
      </w:r>
      <w:r>
        <w:rPr>
          <w:rStyle w:val="H1"/>
          <w:rFonts w:cs="Arial" w:ascii="Arial" w:hAnsi="Arial"/>
          <w:i/>
        </w:rPr>
        <w:t xml:space="preserve">t.j. </w:t>
      </w:r>
      <w:r>
        <w:rPr>
          <w:rFonts w:cs="Arial" w:ascii="Arial" w:hAnsi="Arial"/>
          <w:i/>
        </w:rPr>
        <w:t>Dz.U. 2018 poz. 1466).</w:t>
      </w:r>
    </w:p>
    <w:p>
      <w:pPr>
        <w:pStyle w:val="Normal"/>
        <w:numPr>
          <w:ilvl w:val="0"/>
          <w:numId w:val="4"/>
        </w:numPr>
        <w:spacing w:lineRule="auto" w:line="360" w:before="240" w:after="0"/>
        <w:jc w:val="both"/>
        <w:rPr>
          <w:rStyle w:val="H11"/>
          <w:rFonts w:ascii="Arial" w:hAnsi="Arial" w:cs="Arial"/>
          <w:bCs w:val="false"/>
          <w:i/>
          <w:i/>
          <w:sz w:val="22"/>
          <w:szCs w:val="22"/>
        </w:rPr>
      </w:pPr>
      <w:r>
        <w:rPr>
          <w:rFonts w:cs="Arial" w:ascii="Arial" w:hAnsi="Arial"/>
          <w:i/>
          <w:color w:val="000000"/>
        </w:rPr>
        <w:t>Ustawa z dnia 25 lutego 2011 r. o substancjach chemicznych i ich mieszaninach (t.j. Dz.U. 2019 poz. 1225).</w:t>
      </w:r>
    </w:p>
    <w:p>
      <w:pPr>
        <w:pStyle w:val="Normal"/>
        <w:numPr>
          <w:ilvl w:val="0"/>
          <w:numId w:val="4"/>
        </w:numPr>
        <w:spacing w:lineRule="auto" w:line="360" w:before="240" w:after="0"/>
        <w:jc w:val="both"/>
        <w:rPr>
          <w:rFonts w:ascii="Arial" w:hAnsi="Arial" w:cs="Arial"/>
          <w:b/>
          <w:b/>
          <w:i/>
          <w:i/>
        </w:rPr>
      </w:pPr>
      <w:r>
        <w:rPr>
          <w:rFonts w:cs="Arial" w:ascii="Arial" w:hAnsi="Arial"/>
          <w:i/>
          <w:color w:val="000000"/>
        </w:rPr>
        <w:t>Ustawa z dnia 9 czerwca 2011 r.</w:t>
      </w:r>
      <w:r>
        <w:rPr>
          <w:rFonts w:cs="Arial" w:ascii="Arial" w:hAnsi="Arial"/>
          <w:i/>
          <w:color w:val="000000"/>
          <w:sz w:val="20"/>
          <w:szCs w:val="20"/>
        </w:rPr>
        <w:t xml:space="preserve"> — </w:t>
      </w:r>
      <w:r>
        <w:rPr>
          <w:rFonts w:cs="Arial" w:ascii="Arial" w:hAnsi="Arial"/>
          <w:i/>
          <w:color w:val="000000"/>
        </w:rPr>
        <w:t>Prawo geologiczne i górnicze</w:t>
      </w:r>
      <w:r>
        <w:rPr>
          <w:rFonts w:cs="Arial" w:ascii="Arial" w:hAnsi="Arial"/>
          <w:i/>
          <w:color w:val="000000"/>
          <w:sz w:val="20"/>
          <w:szCs w:val="20"/>
        </w:rPr>
        <w:t xml:space="preserve"> </w:t>
      </w:r>
      <w:r>
        <w:rPr>
          <w:rFonts w:cs="Arial" w:ascii="Arial" w:hAnsi="Arial"/>
          <w:i/>
          <w:color w:val="000000"/>
        </w:rPr>
        <w:t>(t.j</w:t>
      </w:r>
      <w:r>
        <w:rPr/>
        <w:t xml:space="preserve"> </w:t>
      </w:r>
      <w:r>
        <w:rPr>
          <w:rFonts w:cs="Arial" w:ascii="Arial" w:hAnsi="Arial"/>
          <w:i/>
          <w:color w:val="000000"/>
        </w:rPr>
        <w:t>Dz.U. 2019 poz. 868</w:t>
      </w:r>
      <w:r>
        <w:rPr>
          <w:rStyle w:val="H11"/>
          <w:rFonts w:cs="Arial" w:ascii="Arial" w:hAnsi="Arial"/>
          <w:b w:val="false"/>
          <w:i/>
          <w:color w:val="000000"/>
          <w:sz w:val="22"/>
          <w:szCs w:val="22"/>
        </w:rPr>
        <w:t xml:space="preserve"> </w:t>
      </w:r>
      <w:r>
        <w:rPr>
          <w:rFonts w:cs="Arial" w:ascii="Arial" w:hAnsi="Arial"/>
          <w:i/>
        </w:rPr>
        <w:t>).</w:t>
      </w:r>
    </w:p>
    <w:p>
      <w:pPr>
        <w:pStyle w:val="Normal"/>
        <w:numPr>
          <w:ilvl w:val="0"/>
          <w:numId w:val="4"/>
        </w:numPr>
        <w:spacing w:lineRule="auto" w:line="360" w:before="240" w:after="0"/>
        <w:jc w:val="both"/>
        <w:rPr>
          <w:rFonts w:ascii="Arial" w:hAnsi="Arial" w:cs="Arial"/>
          <w:b/>
          <w:b/>
          <w:i/>
          <w:i/>
        </w:rPr>
      </w:pPr>
      <w:r>
        <w:rPr>
          <w:rFonts w:cs="Arial" w:ascii="Arial" w:hAnsi="Arial"/>
          <w:i/>
          <w:color w:val="000000"/>
        </w:rPr>
        <w:t xml:space="preserve"> </w:t>
      </w:r>
      <w:r>
        <w:rPr>
          <w:rFonts w:cs="Arial" w:ascii="Arial" w:hAnsi="Arial"/>
          <w:i/>
          <w:color w:val="000000"/>
        </w:rPr>
        <w:t>Ustawa z dnia 19 sierpnia 2011 r. – o przewozie towarów niebezpiecznych (t.j</w:t>
      </w:r>
      <w:r>
        <w:rPr/>
        <w:t xml:space="preserve"> </w:t>
      </w:r>
      <w:r>
        <w:rPr>
          <w:rFonts w:cs="Arial" w:ascii="Arial" w:hAnsi="Arial"/>
          <w:i/>
          <w:color w:val="000000"/>
        </w:rPr>
        <w:t>Dz.U. 2019 poz. 382</w:t>
      </w:r>
      <w:r>
        <w:rPr>
          <w:rFonts w:cs="Arial" w:ascii="Arial" w:hAnsi="Arial"/>
          <w:i/>
        </w:rPr>
        <w:t>)</w:t>
      </w:r>
    </w:p>
    <w:p>
      <w:pPr>
        <w:pStyle w:val="ListParagraph"/>
        <w:numPr>
          <w:ilvl w:val="0"/>
          <w:numId w:val="5"/>
        </w:numPr>
        <w:spacing w:lineRule="auto" w:line="360" w:before="0" w:after="0"/>
        <w:contextualSpacing/>
        <w:jc w:val="both"/>
        <w:rPr>
          <w:rFonts w:ascii="Arial" w:hAnsi="Arial" w:cs="Arial"/>
          <w:b/>
          <w:b/>
          <w:vanish/>
          <w:sz w:val="24"/>
          <w:szCs w:val="24"/>
        </w:rPr>
      </w:pPr>
      <w:r>
        <w:rPr>
          <w:rFonts w:cs="Arial" w:ascii="Arial" w:hAnsi="Arial"/>
          <w:b/>
          <w:vanish/>
          <w:sz w:val="24"/>
          <w:szCs w:val="24"/>
        </w:rPr>
      </w:r>
    </w:p>
    <w:p>
      <w:pPr>
        <w:pStyle w:val="ListParagraph"/>
        <w:numPr>
          <w:ilvl w:val="0"/>
          <w:numId w:val="5"/>
        </w:numPr>
        <w:spacing w:lineRule="auto" w:line="360" w:before="0" w:after="0"/>
        <w:contextualSpacing/>
        <w:jc w:val="both"/>
        <w:rPr>
          <w:rFonts w:ascii="Arial" w:hAnsi="Arial" w:cs="Arial"/>
          <w:b/>
          <w:b/>
          <w:vanish/>
          <w:sz w:val="24"/>
          <w:szCs w:val="24"/>
        </w:rPr>
      </w:pPr>
      <w:r>
        <w:rPr>
          <w:rFonts w:cs="Arial" w:ascii="Arial" w:hAnsi="Arial"/>
          <w:b/>
          <w:vanish/>
          <w:sz w:val="24"/>
          <w:szCs w:val="24"/>
        </w:rPr>
      </w:r>
    </w:p>
    <w:p>
      <w:pPr>
        <w:pStyle w:val="ListParagraph"/>
        <w:numPr>
          <w:ilvl w:val="0"/>
          <w:numId w:val="5"/>
        </w:numPr>
        <w:spacing w:lineRule="auto" w:line="360" w:before="0" w:after="0"/>
        <w:contextualSpacing/>
        <w:jc w:val="both"/>
        <w:rPr>
          <w:rFonts w:ascii="Arial" w:hAnsi="Arial" w:cs="Arial"/>
          <w:b/>
          <w:b/>
          <w:vanish/>
          <w:sz w:val="24"/>
          <w:szCs w:val="24"/>
        </w:rPr>
      </w:pPr>
      <w:r>
        <w:rPr>
          <w:rFonts w:cs="Arial" w:ascii="Arial" w:hAnsi="Arial"/>
          <w:b/>
          <w:vanish/>
          <w:sz w:val="24"/>
          <w:szCs w:val="24"/>
        </w:rPr>
      </w:r>
    </w:p>
    <w:p>
      <w:pPr>
        <w:pStyle w:val="ListParagraph"/>
        <w:numPr>
          <w:ilvl w:val="1"/>
          <w:numId w:val="5"/>
        </w:numPr>
        <w:spacing w:lineRule="auto" w:line="360" w:before="0" w:after="0"/>
        <w:contextualSpacing/>
        <w:jc w:val="both"/>
        <w:rPr>
          <w:rFonts w:ascii="Arial" w:hAnsi="Arial" w:cs="Arial"/>
          <w:b/>
          <w:b/>
          <w:vanish/>
          <w:sz w:val="24"/>
          <w:szCs w:val="24"/>
        </w:rPr>
      </w:pPr>
      <w:r>
        <w:rPr>
          <w:rFonts w:cs="Arial" w:ascii="Arial" w:hAnsi="Arial"/>
          <w:b/>
          <w:vanish/>
          <w:sz w:val="24"/>
          <w:szCs w:val="24"/>
        </w:rPr>
      </w:r>
    </w:p>
    <w:p>
      <w:pPr>
        <w:pStyle w:val="Normal"/>
        <w:rPr/>
      </w:pPr>
      <w:r>
        <w:rPr/>
      </w:r>
    </w:p>
    <w:p>
      <w:pPr>
        <w:pStyle w:val="Nagwek2"/>
        <w:spacing w:lineRule="auto" w:line="360" w:before="0" w:after="0"/>
        <w:rPr/>
      </w:pPr>
      <w:bookmarkStart w:id="39" w:name="_Toc331346066"/>
      <w:bookmarkStart w:id="40" w:name="_Toc335395341"/>
      <w:bookmarkStart w:id="41" w:name="_Toc20296866"/>
      <w:r>
        <w:rPr/>
        <w:t>3.2. Akty wykonawcze</w:t>
      </w:r>
      <w:bookmarkEnd w:id="39"/>
      <w:bookmarkEnd w:id="40"/>
      <w:bookmarkEnd w:id="41"/>
    </w:p>
    <w:p>
      <w:pPr>
        <w:pStyle w:val="ListParagraph"/>
        <w:spacing w:lineRule="auto" w:line="360" w:before="0" w:after="0"/>
        <w:ind w:left="792" w:hanging="0"/>
        <w:contextualSpacing/>
        <w:jc w:val="both"/>
        <w:rPr>
          <w:rFonts w:ascii="Arial" w:hAnsi="Arial" w:cs="Arial"/>
          <w:b/>
          <w:b/>
          <w:sz w:val="24"/>
          <w:szCs w:val="24"/>
        </w:rPr>
      </w:pPr>
      <w:r>
        <w:rPr>
          <w:rFonts w:cs="Arial" w:ascii="Arial" w:hAnsi="Arial"/>
          <w:b/>
          <w:sz w:val="24"/>
          <w:szCs w:val="24"/>
        </w:rPr>
      </w:r>
    </w:p>
    <w:p>
      <w:pPr>
        <w:pStyle w:val="ListParagraph"/>
        <w:numPr>
          <w:ilvl w:val="0"/>
          <w:numId w:val="6"/>
        </w:numPr>
        <w:spacing w:lineRule="auto" w:line="360" w:before="0" w:after="0"/>
        <w:ind w:left="357" w:hanging="357"/>
        <w:contextualSpacing/>
        <w:jc w:val="both"/>
        <w:rPr>
          <w:rFonts w:ascii="Arial" w:hAnsi="Arial" w:cs="Arial"/>
        </w:rPr>
      </w:pPr>
      <w:r>
        <w:rPr>
          <w:rFonts w:cs="Arial" w:ascii="Arial" w:hAnsi="Arial"/>
          <w:i/>
          <w:iCs/>
        </w:rPr>
        <w:t>Rozporządzenie Ministra Środowiska z dnia 9 grudnia 2014 r. – w sprawie katalogu odpadów</w:t>
      </w:r>
      <w:r>
        <w:rPr>
          <w:rFonts w:cs="Arial" w:ascii="Arial" w:hAnsi="Arial"/>
          <w:i/>
        </w:rPr>
        <w:t xml:space="preserve"> (Dz. U. 2014 poz. 1923)</w:t>
      </w:r>
      <w:r>
        <w:rPr>
          <w:rFonts w:cs="Arial" w:ascii="Arial" w:hAnsi="Arial"/>
        </w:rPr>
        <w:t xml:space="preserve"> zamieszcza rodzaje odpadów zawierających azbest na liście odpadów niebezpiecznych w wymienionych poniżej grupach i podgrupach z odpowiednim przypisanym kodem klasyfikacyjnym:</w:t>
      </w:r>
    </w:p>
    <w:p>
      <w:pPr>
        <w:pStyle w:val="Normal"/>
        <w:spacing w:lineRule="auto" w:line="360" w:before="0" w:after="0"/>
        <w:ind w:left="360" w:hanging="0"/>
        <w:jc w:val="both"/>
        <w:rPr>
          <w:rFonts w:ascii="Arial" w:hAnsi="Arial" w:cs="Arial"/>
        </w:rPr>
      </w:pPr>
      <w:r>
        <w:rPr>
          <w:rFonts w:cs="Arial" w:ascii="Arial" w:hAnsi="Arial"/>
        </w:rPr>
        <w:t>- 06 07 01* - odpady azbestowe z elektrolizy,</w:t>
      </w:r>
    </w:p>
    <w:p>
      <w:pPr>
        <w:pStyle w:val="Normal"/>
        <w:spacing w:lineRule="auto" w:line="360" w:before="0" w:after="0"/>
        <w:ind w:left="360" w:hanging="0"/>
        <w:jc w:val="both"/>
        <w:rPr>
          <w:rFonts w:ascii="Arial" w:hAnsi="Arial" w:cs="Arial"/>
        </w:rPr>
      </w:pPr>
      <w:r>
        <w:rPr>
          <w:rFonts w:cs="Arial" w:ascii="Arial" w:hAnsi="Arial"/>
        </w:rPr>
        <w:t>- 06 13 04* - odpady z przetwarzania azbestu,</w:t>
      </w:r>
    </w:p>
    <w:p>
      <w:pPr>
        <w:pStyle w:val="Normal"/>
        <w:spacing w:lineRule="auto" w:line="360" w:before="0" w:after="0"/>
        <w:ind w:left="360" w:hanging="0"/>
        <w:jc w:val="both"/>
        <w:rPr>
          <w:rFonts w:ascii="Arial" w:hAnsi="Arial" w:cs="Arial"/>
        </w:rPr>
      </w:pPr>
      <w:r>
        <w:rPr>
          <w:rFonts w:cs="Arial" w:ascii="Arial" w:hAnsi="Arial"/>
        </w:rPr>
        <w:t>- 10 11 81* - odpady zawierające azbest,</w:t>
      </w:r>
    </w:p>
    <w:p>
      <w:pPr>
        <w:pStyle w:val="Normal"/>
        <w:spacing w:lineRule="auto" w:line="360" w:before="0" w:after="0"/>
        <w:ind w:left="567" w:hanging="283"/>
        <w:jc w:val="both"/>
        <w:rPr>
          <w:rFonts w:ascii="Arial" w:hAnsi="Arial" w:cs="Arial"/>
        </w:rPr>
      </w:pPr>
      <w:r>
        <w:rPr>
          <w:rFonts w:cs="Arial" w:ascii="Arial" w:hAnsi="Arial"/>
        </w:rPr>
        <w:t>- 10 13 09* - odpady zawierające azbest z produkcji elementów cementowo-azbestowych,</w:t>
      </w:r>
    </w:p>
    <w:p>
      <w:pPr>
        <w:pStyle w:val="Normal"/>
        <w:spacing w:lineRule="auto" w:line="360" w:before="0" w:after="0"/>
        <w:ind w:left="567" w:hanging="283"/>
        <w:jc w:val="both"/>
        <w:rPr>
          <w:rFonts w:ascii="Arial" w:hAnsi="Arial" w:cs="Arial"/>
        </w:rPr>
      </w:pPr>
      <w:r>
        <w:rPr>
          <w:rFonts w:cs="Arial" w:ascii="Arial" w:hAnsi="Arial"/>
        </w:rPr>
        <w:t>- 15 01 11* - opakowania z metali zawierających niebezpieczne, porowate elementy wzmocnienia konstrukcyjnego (np. azbest) włącznie z pustymi pojemnikami ciśnieniowymi,</w:t>
      </w:r>
    </w:p>
    <w:p>
      <w:pPr>
        <w:pStyle w:val="Normal"/>
        <w:spacing w:lineRule="auto" w:line="360" w:before="0" w:after="0"/>
        <w:ind w:left="360" w:hanging="0"/>
        <w:jc w:val="both"/>
        <w:rPr>
          <w:rFonts w:ascii="Arial" w:hAnsi="Arial" w:cs="Arial"/>
        </w:rPr>
      </w:pPr>
      <w:r>
        <w:rPr>
          <w:rFonts w:cs="Arial" w:ascii="Arial" w:hAnsi="Arial"/>
        </w:rPr>
        <w:t>- 16 01 11* - okładziny hamulcowe zawierające azbest,</w:t>
      </w:r>
    </w:p>
    <w:p>
      <w:pPr>
        <w:pStyle w:val="Normal"/>
        <w:spacing w:lineRule="auto" w:line="360" w:before="0" w:after="0"/>
        <w:ind w:left="360" w:hanging="0"/>
        <w:jc w:val="both"/>
        <w:rPr>
          <w:rFonts w:ascii="Arial" w:hAnsi="Arial" w:cs="Arial"/>
        </w:rPr>
      </w:pPr>
      <w:r>
        <w:rPr>
          <w:rFonts w:cs="Arial" w:ascii="Arial" w:hAnsi="Arial"/>
        </w:rPr>
        <w:t>- 16 02 12* - zużyte urządzenia zawierające wolny azbest,</w:t>
      </w:r>
    </w:p>
    <w:p>
      <w:pPr>
        <w:pStyle w:val="Normal"/>
        <w:spacing w:lineRule="auto" w:line="360" w:before="0" w:after="0"/>
        <w:ind w:left="360" w:hanging="0"/>
        <w:jc w:val="both"/>
        <w:rPr>
          <w:rFonts w:ascii="Arial" w:hAnsi="Arial" w:cs="Arial"/>
        </w:rPr>
      </w:pPr>
      <w:r>
        <w:rPr>
          <w:rFonts w:cs="Arial" w:ascii="Arial" w:hAnsi="Arial"/>
        </w:rPr>
        <w:t>- 17 06 01* - materiały izolacyjne zawierające azbest,</w:t>
      </w:r>
    </w:p>
    <w:p>
      <w:pPr>
        <w:pStyle w:val="Normal"/>
        <w:spacing w:lineRule="auto" w:line="360" w:before="0" w:after="0"/>
        <w:ind w:left="360" w:hanging="0"/>
        <w:jc w:val="both"/>
        <w:rPr>
          <w:rFonts w:ascii="Arial" w:hAnsi="Arial" w:cs="Arial"/>
        </w:rPr>
      </w:pPr>
      <w:r>
        <w:rPr>
          <w:rFonts w:cs="Arial" w:ascii="Arial" w:hAnsi="Arial"/>
        </w:rPr>
        <w:t>- 17 06 05* - materiały konstrukcyjne zawierające azbest.</w:t>
      </w:r>
    </w:p>
    <w:p>
      <w:pPr>
        <w:pStyle w:val="Normal"/>
        <w:spacing w:lineRule="auto" w:line="360" w:before="0" w:after="0"/>
        <w:ind w:left="360" w:hanging="0"/>
        <w:jc w:val="both"/>
        <w:rPr>
          <w:rFonts w:ascii="Arial" w:hAnsi="Arial" w:cs="Arial"/>
        </w:rPr>
      </w:pPr>
      <w:r>
        <w:rPr>
          <w:rFonts w:cs="Arial" w:ascii="Arial" w:hAnsi="Arial"/>
        </w:rPr>
      </w:r>
    </w:p>
    <w:p>
      <w:pPr>
        <w:pStyle w:val="ListParagraph"/>
        <w:numPr>
          <w:ilvl w:val="0"/>
          <w:numId w:val="6"/>
        </w:numPr>
        <w:spacing w:lineRule="auto" w:line="360" w:before="0" w:after="0"/>
        <w:contextualSpacing/>
        <w:jc w:val="both"/>
        <w:rPr>
          <w:rFonts w:ascii="Arial" w:hAnsi="Arial" w:cs="Arial"/>
          <w:i/>
          <w:i/>
        </w:rPr>
      </w:pPr>
      <w:r>
        <w:rPr>
          <w:rFonts w:cs="Arial" w:ascii="Arial" w:hAnsi="Arial"/>
          <w:i/>
        </w:rPr>
        <w:t>Rozporz</w:t>
      </w:r>
      <w:r>
        <w:rPr>
          <w:rFonts w:eastAsia="TTE19F8C70t00" w:cs="Arial" w:ascii="Arial" w:hAnsi="Arial"/>
          <w:i/>
        </w:rPr>
        <w:t>ą</w:t>
      </w:r>
      <w:r>
        <w:rPr>
          <w:rFonts w:cs="Arial" w:ascii="Arial" w:hAnsi="Arial"/>
          <w:i/>
        </w:rPr>
        <w:t xml:space="preserve">dzenie Ministra </w:t>
      </w:r>
      <w:r>
        <w:rPr>
          <w:rFonts w:eastAsia="TTE19F8C70t00" w:cs="Arial" w:ascii="Arial" w:hAnsi="Arial"/>
          <w:i/>
        </w:rPr>
        <w:t>Ś</w:t>
      </w:r>
      <w:r>
        <w:rPr>
          <w:rFonts w:cs="Arial" w:ascii="Arial" w:hAnsi="Arial"/>
          <w:i/>
        </w:rPr>
        <w:t>rodowiska z dnia 23 lipca 2009 r. w sprawie sposobu przedkładania marszałkowi województwa informacji o wyst</w:t>
      </w:r>
      <w:r>
        <w:rPr>
          <w:rFonts w:eastAsia="TTE19F8C70t00" w:cs="Arial" w:ascii="Arial" w:hAnsi="Arial"/>
          <w:i/>
        </w:rPr>
        <w:t>ę</w:t>
      </w:r>
      <w:r>
        <w:rPr>
          <w:rFonts w:cs="Arial" w:ascii="Arial" w:hAnsi="Arial"/>
          <w:i/>
        </w:rPr>
        <w:t>powaniu substancji stwarzaj</w:t>
      </w:r>
      <w:r>
        <w:rPr>
          <w:rFonts w:eastAsia="TTE19F8C70t00" w:cs="Arial" w:ascii="Arial" w:hAnsi="Arial"/>
          <w:i/>
        </w:rPr>
        <w:t>ą</w:t>
      </w:r>
      <w:r>
        <w:rPr>
          <w:rFonts w:cs="Arial" w:ascii="Arial" w:hAnsi="Arial"/>
          <w:i/>
        </w:rPr>
        <w:t>cych szczególne zagro</w:t>
      </w:r>
      <w:r>
        <w:rPr>
          <w:rFonts w:eastAsia="TTE19F8C70t00" w:cs="Arial" w:ascii="Arial" w:hAnsi="Arial"/>
          <w:i/>
        </w:rPr>
        <w:t>ż</w:t>
      </w:r>
      <w:r>
        <w:rPr>
          <w:rFonts w:cs="Arial" w:ascii="Arial" w:hAnsi="Arial"/>
          <w:i/>
        </w:rPr>
        <w:t xml:space="preserve">enie dla </w:t>
      </w:r>
      <w:r>
        <w:rPr>
          <w:rFonts w:eastAsia="TTE19F8C70t00" w:cs="Arial" w:ascii="Arial" w:hAnsi="Arial"/>
          <w:i/>
        </w:rPr>
        <w:t>ś</w:t>
      </w:r>
      <w:r>
        <w:rPr>
          <w:rFonts w:cs="Arial" w:ascii="Arial" w:hAnsi="Arial"/>
          <w:i/>
        </w:rPr>
        <w:t>rodowiska (t.j. Dz.U. 2015 poz. 1450).</w:t>
      </w:r>
      <w:r>
        <w:rPr>
          <w:rFonts w:cs="Arial" w:ascii="Arial" w:hAnsi="Arial"/>
        </w:rPr>
        <w:t xml:space="preserve"> Określa termin oraz formę składania informacji o rodzaju, ilości i miejscach występowania substancji stwarzających szczególne zagrożenie dla środowiska.</w:t>
      </w:r>
    </w:p>
    <w:p>
      <w:pPr>
        <w:pStyle w:val="Normal"/>
        <w:spacing w:lineRule="auto" w:line="360" w:before="0" w:after="0"/>
        <w:ind w:left="720" w:hanging="0"/>
        <w:jc w:val="both"/>
        <w:rPr>
          <w:rFonts w:ascii="Arial" w:hAnsi="Arial" w:cs="Arial"/>
        </w:rPr>
      </w:pPr>
      <w:r>
        <w:rPr>
          <w:rFonts w:cs="Arial" w:ascii="Arial" w:hAnsi="Arial"/>
        </w:rPr>
      </w:r>
    </w:p>
    <w:p>
      <w:pPr>
        <w:pStyle w:val="ListParagraph"/>
        <w:numPr>
          <w:ilvl w:val="0"/>
          <w:numId w:val="6"/>
        </w:numPr>
        <w:spacing w:lineRule="auto" w:line="360" w:before="0" w:after="0"/>
        <w:contextualSpacing/>
        <w:jc w:val="both"/>
        <w:rPr>
          <w:rFonts w:ascii="Arial" w:hAnsi="Arial" w:cs="Arial"/>
        </w:rPr>
      </w:pPr>
      <w:r>
        <w:rPr>
          <w:rFonts w:cs="Arial" w:ascii="Arial" w:hAnsi="Arial"/>
          <w:i/>
          <w:iCs/>
        </w:rPr>
        <w:t>Rozporządzenie Ministra Gospodarki z dnia 16 stycznia 2015 r. w sprawie rodzajów odpadów, które mogą być składowane w sposób nieselektywny</w:t>
      </w:r>
      <w:r>
        <w:rPr>
          <w:rFonts w:cs="Arial" w:ascii="Arial" w:hAnsi="Arial"/>
          <w:i/>
        </w:rPr>
        <w:t xml:space="preserve"> (Dz. U. 2015 poz.110).</w:t>
      </w:r>
      <w:r>
        <w:rPr>
          <w:rFonts w:cs="Arial" w:ascii="Arial" w:hAnsi="Arial"/>
        </w:rPr>
        <w:t xml:space="preserve"> W sposób nieselektywny mogą być składowane odpady o następujących kodach:</w:t>
      </w:r>
    </w:p>
    <w:p>
      <w:pPr>
        <w:pStyle w:val="Normal"/>
        <w:spacing w:lineRule="auto" w:line="360" w:before="0" w:after="0"/>
        <w:ind w:left="360" w:hanging="0"/>
        <w:jc w:val="both"/>
        <w:rPr>
          <w:rFonts w:ascii="Arial" w:hAnsi="Arial" w:cs="Arial"/>
        </w:rPr>
      </w:pPr>
      <w:r>
        <w:rPr>
          <w:rFonts w:cs="Arial" w:ascii="Arial" w:hAnsi="Arial"/>
        </w:rPr>
        <w:t>- 17 06 01* - materiały izolacyjne zawierające azbest;</w:t>
      </w:r>
    </w:p>
    <w:p>
      <w:pPr>
        <w:pStyle w:val="Normal"/>
        <w:spacing w:lineRule="auto" w:line="360" w:before="0" w:after="0"/>
        <w:ind w:left="360" w:hanging="0"/>
        <w:jc w:val="both"/>
        <w:rPr>
          <w:rFonts w:ascii="Arial" w:hAnsi="Arial" w:cs="Arial"/>
        </w:rPr>
      </w:pPr>
      <w:r>
        <w:rPr>
          <w:rFonts w:cs="Arial" w:ascii="Arial" w:hAnsi="Arial"/>
        </w:rPr>
        <w:t>- 17 06 05* - materiały konstrukcyjne zawierające azbest;</w:t>
      </w:r>
    </w:p>
    <w:p>
      <w:pPr>
        <w:pStyle w:val="Normal"/>
        <w:spacing w:lineRule="auto" w:line="360" w:before="0" w:after="0"/>
        <w:ind w:left="360" w:hanging="0"/>
        <w:jc w:val="both"/>
        <w:rPr>
          <w:rFonts w:ascii="Arial" w:hAnsi="Arial" w:cs="Arial"/>
        </w:rPr>
      </w:pPr>
      <w:r>
        <w:rPr>
          <w:rFonts w:cs="Arial" w:ascii="Arial" w:hAnsi="Arial"/>
        </w:rPr>
        <w:t>Odpady te mogą być składowane wspólnie, na tym samym składowisku odpadów niebezpiecznych zawierających azbest. Nie można natomiast mieszać tych odpadów i składować z innymi odpadami niebezpiecznymi.</w:t>
      </w:r>
    </w:p>
    <w:p>
      <w:pPr>
        <w:pStyle w:val="Normal"/>
        <w:spacing w:lineRule="auto" w:line="360" w:before="0" w:after="0"/>
        <w:jc w:val="both"/>
        <w:rPr>
          <w:rFonts w:ascii="Arial" w:hAnsi="Arial" w:cs="Arial"/>
        </w:rPr>
      </w:pPr>
      <w:r>
        <w:rPr>
          <w:rFonts w:cs="Arial" w:ascii="Arial" w:hAnsi="Arial"/>
        </w:rPr>
      </w:r>
    </w:p>
    <w:p>
      <w:pPr>
        <w:pStyle w:val="ListParagraph"/>
        <w:numPr>
          <w:ilvl w:val="0"/>
          <w:numId w:val="6"/>
        </w:numPr>
        <w:spacing w:lineRule="auto" w:line="360" w:before="0" w:after="0"/>
        <w:contextualSpacing/>
        <w:jc w:val="both"/>
        <w:rPr>
          <w:rFonts w:ascii="Arial" w:hAnsi="Arial" w:cs="Arial"/>
        </w:rPr>
      </w:pPr>
      <w:r>
        <w:rPr>
          <w:rFonts w:cs="Arial" w:ascii="Arial" w:hAnsi="Arial"/>
          <w:i/>
          <w:iCs/>
        </w:rPr>
        <w:t xml:space="preserve">Rozporządzenie Ministra Rodziny, Pracy i Polityki Społecznej z dnia 12 czerwca 2018 r. </w:t>
        <w:br/>
        <w:t xml:space="preserve">w sprawie najwyższych dopuszczalnych stężeń i natężeń czynników szkodliwych dla zdrowia w środowisku pracy (Dz.U. 2018 poz. 1286). </w:t>
      </w:r>
      <w:r>
        <w:rPr>
          <w:rFonts w:cs="Arial" w:ascii="Arial" w:hAnsi="Arial"/>
        </w:rPr>
        <w:t>Określa najwyższe dopuszczalne stężenia w środowisku pracy pyłów zawierających azbest.</w:t>
      </w:r>
    </w:p>
    <w:p>
      <w:pPr>
        <w:pStyle w:val="ListParagraph"/>
        <w:spacing w:lineRule="auto" w:line="360" w:before="0" w:after="0"/>
        <w:ind w:left="360" w:hanging="0"/>
        <w:contextualSpacing/>
        <w:jc w:val="both"/>
        <w:rPr>
          <w:rFonts w:ascii="Arial" w:hAnsi="Arial" w:cs="Arial"/>
        </w:rPr>
      </w:pPr>
      <w:r>
        <w:rPr>
          <w:rFonts w:cs="Arial" w:ascii="Arial" w:hAnsi="Arial"/>
        </w:rPr>
      </w:r>
    </w:p>
    <w:p>
      <w:pPr>
        <w:pStyle w:val="ListParagraph"/>
        <w:numPr>
          <w:ilvl w:val="0"/>
          <w:numId w:val="6"/>
        </w:numPr>
        <w:spacing w:lineRule="auto" w:line="360" w:before="0" w:after="0"/>
        <w:contextualSpacing/>
        <w:jc w:val="both"/>
        <w:rPr>
          <w:rFonts w:ascii="Arial" w:hAnsi="Arial" w:cs="Arial"/>
        </w:rPr>
      </w:pPr>
      <w:r>
        <w:rPr>
          <w:rFonts w:cs="Arial" w:ascii="Arial" w:hAnsi="Arial"/>
          <w:i/>
        </w:rPr>
        <w:t xml:space="preserve">Rozporządzenie Ministra Środowiska </w:t>
      </w:r>
      <w:r>
        <w:rPr>
          <w:i/>
          <w:iCs/>
        </w:rPr>
        <w:t xml:space="preserve">z </w:t>
      </w:r>
      <w:r>
        <w:rPr>
          <w:rFonts w:eastAsia="Arial Unicode MS" w:cs="Arial" w:ascii="Arial" w:hAnsi="Arial"/>
          <w:i/>
        </w:rPr>
        <w:t xml:space="preserve">dnia 26 stycznia 2010 r. </w:t>
      </w:r>
      <w:r>
        <w:rPr>
          <w:rFonts w:cs="Arial" w:ascii="Arial" w:hAnsi="Arial"/>
          <w:i/>
        </w:rPr>
        <w:t xml:space="preserve">w sprawie wartości odniesienia dla niektórych substancji w powietrzu </w:t>
      </w:r>
      <w:r>
        <w:rPr>
          <w:rStyle w:val="FontStyle173"/>
          <w:rFonts w:cs="Arial" w:ascii="Arial" w:hAnsi="Arial"/>
          <w:i/>
          <w:sz w:val="22"/>
          <w:szCs w:val="22"/>
        </w:rPr>
        <w:t>(</w:t>
      </w:r>
      <w:r>
        <w:rPr>
          <w:rStyle w:val="H1"/>
          <w:rFonts w:cs="Arial" w:ascii="Arial" w:hAnsi="Arial"/>
          <w:i/>
        </w:rPr>
        <w:t>Dz. U. z 2010 r. Nr 16 poz. 87</w:t>
      </w:r>
      <w:r>
        <w:rPr>
          <w:rFonts w:cs="Arial" w:ascii="Arial" w:hAnsi="Arial"/>
          <w:i/>
        </w:rPr>
        <w:t xml:space="preserve"> )</w:t>
      </w:r>
      <w:r>
        <w:rPr>
          <w:rFonts w:cs="Arial" w:ascii="Arial" w:hAnsi="Arial"/>
        </w:rPr>
        <w:t>. Określa limity stężenia azbestu w powietrzu. Wartości odniesienia dla azbestu wynoszą odpowiednio:</w:t>
      </w:r>
    </w:p>
    <w:p>
      <w:pPr>
        <w:pStyle w:val="Normal"/>
        <w:spacing w:lineRule="auto" w:line="360" w:before="0" w:after="0"/>
        <w:ind w:firstLine="360"/>
        <w:jc w:val="both"/>
        <w:rPr>
          <w:rFonts w:ascii="Arial" w:hAnsi="Arial" w:cs="Arial"/>
        </w:rPr>
      </w:pPr>
      <w:r>
        <w:rPr>
          <w:rFonts w:cs="Arial" w:ascii="Arial" w:hAnsi="Arial"/>
        </w:rPr>
        <w:t>-dla 1 godziny – 2.350 włókien/m</w:t>
      </w:r>
      <w:r>
        <w:rPr>
          <w:rFonts w:cs="Arial" w:ascii="Arial" w:hAnsi="Arial"/>
          <w:vertAlign w:val="superscript"/>
        </w:rPr>
        <w:t>3</w:t>
      </w:r>
    </w:p>
    <w:p>
      <w:pPr>
        <w:pStyle w:val="Normal"/>
        <w:spacing w:lineRule="auto" w:line="360" w:before="0" w:after="0"/>
        <w:ind w:firstLine="360"/>
        <w:jc w:val="both"/>
        <w:rPr>
          <w:rFonts w:ascii="Arial" w:hAnsi="Arial" w:cs="Arial"/>
        </w:rPr>
      </w:pPr>
      <w:r>
        <w:rPr>
          <w:rFonts w:cs="Arial" w:ascii="Arial" w:hAnsi="Arial"/>
        </w:rPr>
        <w:t>-dla roku kalendarzowego – 250 włókien/m</w:t>
      </w:r>
      <w:r>
        <w:rPr>
          <w:rFonts w:cs="Arial" w:ascii="Arial" w:hAnsi="Arial"/>
          <w:vertAlign w:val="superscript"/>
        </w:rPr>
        <w:t>3</w:t>
      </w:r>
      <w:r>
        <w:rPr>
          <w:rFonts w:cs="Arial" w:ascii="Arial" w:hAnsi="Arial"/>
        </w:rPr>
        <w:t>.</w:t>
      </w:r>
    </w:p>
    <w:p>
      <w:pPr>
        <w:pStyle w:val="Normal"/>
        <w:spacing w:lineRule="auto" w:line="360" w:before="0" w:after="0"/>
        <w:ind w:firstLine="360"/>
        <w:jc w:val="both"/>
        <w:rPr>
          <w:rFonts w:ascii="Arial" w:hAnsi="Arial" w:cs="Arial"/>
        </w:rPr>
      </w:pPr>
      <w:r>
        <w:rPr>
          <w:rFonts w:cs="Arial" w:ascii="Arial" w:hAnsi="Arial"/>
        </w:rPr>
      </w:r>
    </w:p>
    <w:p>
      <w:pPr>
        <w:pStyle w:val="ListParagraph"/>
        <w:numPr>
          <w:ilvl w:val="0"/>
          <w:numId w:val="6"/>
        </w:numPr>
        <w:spacing w:lineRule="auto" w:line="360" w:before="0" w:after="0"/>
        <w:contextualSpacing/>
        <w:jc w:val="both"/>
        <w:rPr>
          <w:rFonts w:ascii="Arial" w:hAnsi="Arial" w:cs="Arial"/>
          <w:color w:val="000000"/>
        </w:rPr>
      </w:pPr>
      <w:r>
        <w:rPr>
          <w:rFonts w:cs="Arial" w:ascii="Arial" w:hAnsi="Arial"/>
          <w:i/>
          <w:color w:val="000000"/>
        </w:rPr>
        <w:t>Rozporządzenie Ministra Środowiska z dnia 12 grudnia 2014 r. w sprawie wzorów dokumentów stosowanych na potrzeby ewidencji odpadów (Dz. U. 2014 poz. 1973)</w:t>
      </w:r>
    </w:p>
    <w:p>
      <w:pPr>
        <w:pStyle w:val="ListParagraph"/>
        <w:ind w:left="0" w:hanging="0"/>
        <w:rPr>
          <w:rFonts w:ascii="Arial" w:hAnsi="Arial" w:cs="Arial"/>
          <w:color w:val="000000"/>
        </w:rPr>
      </w:pPr>
      <w:r>
        <w:rPr>
          <w:rFonts w:cs="Arial" w:ascii="Arial" w:hAnsi="Arial"/>
          <w:color w:val="000000"/>
        </w:rPr>
      </w:r>
    </w:p>
    <w:p>
      <w:pPr>
        <w:pStyle w:val="ListParagraph"/>
        <w:numPr>
          <w:ilvl w:val="0"/>
          <w:numId w:val="6"/>
        </w:numPr>
        <w:spacing w:lineRule="auto" w:line="360" w:before="0" w:after="0"/>
        <w:contextualSpacing/>
        <w:jc w:val="both"/>
        <w:rPr>
          <w:rFonts w:ascii="Arial" w:hAnsi="Arial" w:cs="Arial"/>
          <w:i/>
          <w:i/>
          <w:color w:val="000000"/>
        </w:rPr>
      </w:pPr>
      <w:r>
        <w:rPr>
          <w:rFonts w:cs="Arial" w:ascii="Arial" w:hAnsi="Arial"/>
          <w:i/>
          <w:color w:val="000000"/>
        </w:rPr>
        <w:t xml:space="preserve">Rozporządzenie Ministra Środowiska z dnia 23lipca 2009 r. </w:t>
      </w:r>
      <w:r>
        <w:rPr>
          <w:rFonts w:cs="Arial" w:ascii="Arial" w:hAnsi="Arial"/>
          <w:bCs/>
          <w:i/>
          <w:color w:val="000000"/>
        </w:rPr>
        <w:t>w</w:t>
      </w:r>
      <w:r>
        <w:rPr>
          <w:rStyle w:val="Appleconvertedspace"/>
          <w:rFonts w:cs="Arial" w:ascii="Arial" w:hAnsi="Arial"/>
          <w:bCs/>
          <w:i/>
          <w:color w:val="000000"/>
        </w:rPr>
        <w:t> sprawie sposobu przedkładania marszałkowi województwa informacji o występowaniu substancji stwarzających szczególne zagrożenie dla środowiska</w:t>
      </w:r>
      <w:r>
        <w:rPr>
          <w:rFonts w:cs="Arial" w:ascii="Arial" w:hAnsi="Arial"/>
          <w:i/>
          <w:color w:val="000000"/>
        </w:rPr>
        <w:t xml:space="preserve"> (t.j. Dz.U. 2015 poz. 1450)</w:t>
      </w:r>
    </w:p>
    <w:p>
      <w:pPr>
        <w:pStyle w:val="ListParagraph"/>
        <w:spacing w:lineRule="auto" w:line="360" w:before="0" w:after="0"/>
        <w:ind w:left="0" w:hanging="0"/>
        <w:contextualSpacing/>
        <w:jc w:val="both"/>
        <w:rPr>
          <w:rFonts w:ascii="Arial" w:hAnsi="Arial" w:cs="Arial"/>
          <w:i/>
          <w:i/>
          <w:color w:val="000000"/>
        </w:rPr>
      </w:pPr>
      <w:r>
        <w:rPr>
          <w:rFonts w:cs="Arial" w:ascii="Arial" w:hAnsi="Arial"/>
          <w:i/>
          <w:color w:val="000000"/>
        </w:rPr>
      </w:r>
    </w:p>
    <w:p>
      <w:pPr>
        <w:pStyle w:val="ListParagraph"/>
        <w:numPr>
          <w:ilvl w:val="0"/>
          <w:numId w:val="6"/>
        </w:numPr>
        <w:spacing w:lineRule="auto" w:line="360" w:before="0" w:after="0"/>
        <w:contextualSpacing/>
        <w:jc w:val="both"/>
        <w:rPr>
          <w:rFonts w:ascii="Arial" w:hAnsi="Arial" w:cs="Arial"/>
          <w:i/>
          <w:i/>
          <w:color w:val="000000"/>
        </w:rPr>
      </w:pPr>
      <w:r>
        <w:rPr>
          <w:rFonts w:cs="Arial" w:ascii="Arial" w:hAnsi="Arial"/>
          <w:i/>
          <w:color w:val="000000"/>
        </w:rPr>
        <w:t>Rozporządzenie Ministra Środowiska z dnia 20 grudnia 2012 r. w sprawie sposobu prowadzenia przez marszałka województwa rejestru wyrobów zawierających azbest (Dz. U. 2013 poz. 25</w:t>
      </w:r>
      <w:r>
        <w:rPr>
          <w:rStyle w:val="H1"/>
          <w:rFonts w:cs="Arial" w:ascii="Arial" w:hAnsi="Arial"/>
          <w:i/>
          <w:color w:val="000000"/>
        </w:rPr>
        <w:t>)</w:t>
      </w:r>
    </w:p>
    <w:p>
      <w:pPr>
        <w:pStyle w:val="ListParagraph"/>
        <w:spacing w:lineRule="auto" w:line="360" w:before="0" w:after="0"/>
        <w:ind w:left="360" w:hanging="0"/>
        <w:contextualSpacing/>
        <w:jc w:val="both"/>
        <w:rPr>
          <w:rFonts w:ascii="Arial" w:hAnsi="Arial" w:cs="Arial"/>
        </w:rPr>
      </w:pPr>
      <w:r>
        <w:rPr>
          <w:rFonts w:cs="Arial" w:ascii="Arial" w:hAnsi="Arial"/>
        </w:rPr>
      </w:r>
    </w:p>
    <w:p>
      <w:pPr>
        <w:pStyle w:val="ListParagraph"/>
        <w:numPr>
          <w:ilvl w:val="0"/>
          <w:numId w:val="6"/>
        </w:numPr>
        <w:spacing w:lineRule="auto" w:line="360" w:before="0" w:after="0"/>
        <w:contextualSpacing/>
        <w:jc w:val="both"/>
        <w:rPr>
          <w:rFonts w:ascii="Arial" w:hAnsi="Arial" w:cs="Arial"/>
          <w:i/>
          <w:i/>
        </w:rPr>
      </w:pPr>
      <w:r>
        <w:rPr>
          <w:rFonts w:cs="Arial" w:ascii="Arial" w:hAnsi="Arial"/>
          <w:i/>
          <w:iCs/>
        </w:rPr>
        <w:t>Rozporządzenie Ministra Infrastruktury z dnia 23 czerwca 2003 r. w sprawie informacji dotyczącej bezpieczeństwa i ochrony zdrowia oraz planu bezpieczeństwa i ochrony zdrowia</w:t>
      </w:r>
      <w:r>
        <w:rPr>
          <w:rFonts w:cs="Arial" w:ascii="Arial" w:hAnsi="Arial"/>
          <w:i/>
        </w:rPr>
        <w:t xml:space="preserve"> (Dz. U. z 2003 r. Nr 120 poz. 1126). Określa zakres rodzajów robót budowlanych, stwarzających zagrożenie bezpieczeństwa lub zdrowia ludzi. </w:t>
      </w:r>
    </w:p>
    <w:p>
      <w:pPr>
        <w:pStyle w:val="ListParagraph"/>
        <w:rPr>
          <w:rFonts w:ascii="Arial" w:hAnsi="Arial" w:cs="Arial"/>
          <w:i/>
          <w:i/>
        </w:rPr>
      </w:pPr>
      <w:r>
        <w:rPr>
          <w:rFonts w:cs="Arial" w:ascii="Arial" w:hAnsi="Arial"/>
          <w:i/>
        </w:rPr>
      </w:r>
    </w:p>
    <w:p>
      <w:pPr>
        <w:pStyle w:val="ListParagraph"/>
        <w:numPr>
          <w:ilvl w:val="0"/>
          <w:numId w:val="6"/>
        </w:numPr>
        <w:spacing w:lineRule="auto" w:line="360" w:before="0" w:after="0"/>
        <w:contextualSpacing/>
        <w:jc w:val="both"/>
        <w:rPr>
          <w:rFonts w:ascii="Arial" w:hAnsi="Arial" w:cs="Arial"/>
          <w:i/>
          <w:i/>
          <w:color w:val="000000"/>
        </w:rPr>
      </w:pPr>
      <w:r>
        <w:rPr>
          <w:rFonts w:cs="Arial" w:ascii="Arial" w:hAnsi="Arial"/>
          <w:i/>
          <w:color w:val="000000"/>
        </w:rPr>
        <w:t>Rozporządzenie Ministra Transportu, Budownictwa i Gospodarki Morskiej z dnia 15 lutego 2012 r. w sprawie świadectwa dopuszczenia pojazdu ADR (t.j. Dz.U. 2019 poz. 510).</w:t>
      </w:r>
    </w:p>
    <w:p>
      <w:pPr>
        <w:pStyle w:val="ListParagraph"/>
        <w:rPr>
          <w:rFonts w:ascii="Arial" w:hAnsi="Arial" w:cs="Arial"/>
          <w:color w:val="000000"/>
        </w:rPr>
      </w:pPr>
      <w:r>
        <w:rPr>
          <w:rFonts w:cs="Arial" w:ascii="Arial" w:hAnsi="Arial"/>
          <w:color w:val="000000"/>
        </w:rPr>
      </w:r>
    </w:p>
    <w:p>
      <w:pPr>
        <w:pStyle w:val="ListParagraph"/>
        <w:numPr>
          <w:ilvl w:val="0"/>
          <w:numId w:val="6"/>
        </w:numPr>
        <w:spacing w:lineRule="auto" w:line="360" w:before="0" w:after="0"/>
        <w:contextualSpacing/>
        <w:jc w:val="both"/>
        <w:rPr>
          <w:rFonts w:ascii="Arial" w:hAnsi="Arial" w:cs="Arial"/>
          <w:i/>
          <w:i/>
          <w:color w:val="000000"/>
        </w:rPr>
      </w:pPr>
      <w:r>
        <w:rPr>
          <w:rFonts w:cs="Arial" w:ascii="Arial" w:hAnsi="Arial"/>
          <w:i/>
          <w:color w:val="000000"/>
        </w:rPr>
        <w:t xml:space="preserve">Rozporządzenie Ministra Transportu, Budownictwa i Gospodarki Morskiej z dnia 29 maja </w:t>
        <w:br/>
        <w:t xml:space="preserve">2012 r. w sprawie prowadzenia kursów z zakresu przewozu towarów niebezpiecznych </w:t>
        <w:br/>
        <w:t>(t.j. Dz.U. 2019 poz. 555.)</w:t>
      </w:r>
    </w:p>
    <w:p>
      <w:pPr>
        <w:pStyle w:val="Normal"/>
        <w:spacing w:lineRule="auto" w:line="360" w:before="0" w:after="0"/>
        <w:jc w:val="both"/>
        <w:rPr>
          <w:rFonts w:ascii="Arial" w:hAnsi="Arial" w:cs="Arial"/>
        </w:rPr>
      </w:pPr>
      <w:r>
        <w:rPr>
          <w:rFonts w:cs="Arial" w:ascii="Arial" w:hAnsi="Arial"/>
        </w:rPr>
      </w:r>
    </w:p>
    <w:p>
      <w:pPr>
        <w:pStyle w:val="ListParagraph"/>
        <w:numPr>
          <w:ilvl w:val="0"/>
          <w:numId w:val="6"/>
        </w:numPr>
        <w:spacing w:lineRule="auto" w:line="360" w:before="0" w:after="0"/>
        <w:contextualSpacing/>
        <w:jc w:val="both"/>
        <w:rPr>
          <w:rStyle w:val="Txtnew"/>
          <w:rFonts w:ascii="Arial" w:hAnsi="Arial" w:cs="Arial"/>
        </w:rPr>
      </w:pPr>
      <w:r>
        <w:rPr>
          <w:rFonts w:cs="Arial" w:ascii="Arial" w:hAnsi="Arial"/>
          <w:i/>
          <w:iCs/>
        </w:rPr>
        <w:t>Rozporządzenie Ministra Gospodarki, Pracy i Polityki Społecznej z dnia 2 kwietnia 2004 roku w sprawie sposobów i warunków bezpiecznego użytkowania i usuwania wyrobów zawierających azbest</w:t>
      </w:r>
      <w:r>
        <w:rPr>
          <w:rFonts w:cs="Arial" w:ascii="Arial" w:hAnsi="Arial"/>
          <w:i/>
        </w:rPr>
        <w:t xml:space="preserve"> (Dz.U. 2004 Nr 71 poz. 649, z późn. zm. </w:t>
      </w:r>
      <w:r>
        <w:rPr>
          <w:rStyle w:val="H1"/>
          <w:rFonts w:cs="Arial" w:ascii="Arial" w:hAnsi="Arial"/>
          <w:i/>
        </w:rPr>
        <w:t>)</w:t>
      </w:r>
      <w:r>
        <w:rPr>
          <w:rStyle w:val="H1"/>
          <w:rFonts w:cs="Arial" w:ascii="Arial" w:hAnsi="Arial"/>
        </w:rPr>
        <w:t>. N</w:t>
      </w:r>
      <w:r>
        <w:rPr>
          <w:rFonts w:cs="Arial" w:ascii="Arial" w:hAnsi="Arial"/>
        </w:rPr>
        <w:t xml:space="preserve">akłada na właścicieli lub zarządców obiektów, urządzeń budowlanych, instalacji przemysłowych lub innych miejsc zawierających azbest - obowiązek okresowej kontroli stanu tych wyrobów oraz sporządzenia oceny stanu i możliwości użytkowania wyrobów zawierających azbest zgodnie z załącznikiem nr 1 do rozporządzenia (Ocena stanu i możliwości bezpiecznego użytkowania wyrobów zawierających azbest). Pierwsza kontrola powinna być przeprowadzona  w terminie do 6 miesięcy od dnia wejścia w życie rozporządzenia. W/w podmioty przechowują  egzemplarz oceny (łącznie ze stosowną dokumentacją miejsca zawierającego azbest, obiektu, urządzenia budowlanego lub instalacji przemysłowej. </w:t>
      </w:r>
      <w:r>
        <w:rPr>
          <w:rStyle w:val="Txtnew"/>
          <w:rFonts w:cs="Arial" w:ascii="Arial" w:hAnsi="Arial"/>
        </w:rPr>
        <w:t xml:space="preserve">Dla budynków oraz obiektów budowlanych niebędących budynkami, dla których jest prowadzona książka obiektu budowlanego na podstawie </w:t>
      </w:r>
      <w:hyperlink r:id="rId10">
        <w:r>
          <w:rPr>
            <w:rStyle w:val="Czeinternetowe"/>
            <w:rFonts w:cs="Arial" w:ascii="Arial" w:hAnsi="Arial"/>
            <w:color w:val="000000"/>
            <w:u w:val="none"/>
          </w:rPr>
          <w:t>art. 64 ust. 1</w:t>
        </w:r>
      </w:hyperlink>
      <w:r>
        <w:rPr>
          <w:rStyle w:val="Txtnew"/>
          <w:rFonts w:cs="Arial" w:ascii="Arial" w:hAnsi="Arial"/>
        </w:rPr>
        <w:t xml:space="preserve"> ustawy z dnia 7 lipca 1994 r. - Prawo budowlane, ocena ta powinna być dołączona do książki obiektu budowlanego.) </w:t>
      </w:r>
    </w:p>
    <w:p>
      <w:pPr>
        <w:pStyle w:val="Normal"/>
        <w:spacing w:lineRule="auto" w:line="360" w:before="0" w:after="0"/>
        <w:jc w:val="both"/>
        <w:rPr>
          <w:rFonts w:ascii="Arial" w:hAnsi="Arial" w:cs="Arial"/>
        </w:rPr>
      </w:pPr>
      <w:r>
        <w:rPr>
          <w:rFonts w:cs="Arial" w:ascii="Arial" w:hAnsi="Arial"/>
        </w:rPr>
      </w:r>
    </w:p>
    <w:p>
      <w:pPr>
        <w:pStyle w:val="ListParagraph"/>
        <w:numPr>
          <w:ilvl w:val="0"/>
          <w:numId w:val="6"/>
        </w:numPr>
        <w:spacing w:lineRule="auto" w:line="360" w:before="0" w:after="0"/>
        <w:contextualSpacing/>
        <w:jc w:val="both"/>
        <w:rPr>
          <w:rFonts w:ascii="Arial" w:hAnsi="Arial" w:cs="Arial"/>
          <w:color w:val="000000"/>
        </w:rPr>
      </w:pPr>
      <w:r>
        <w:rPr>
          <w:rFonts w:cs="Arial" w:ascii="Arial" w:hAnsi="Arial"/>
          <w:i/>
          <w:iCs/>
        </w:rPr>
        <w:t>Rozporządzenie Ministra Gospodarki, z dnia 13 grudnia 2010 r. w sprawie wymagań w zakresie wykorzystywania wyrobów zawierających azbest oraz wykorzystywania i oczyszczania instalacji lub urządzeń, w których były lub są wykorzystywane wyroby zawierające azbest. (</w:t>
      </w:r>
      <w:r>
        <w:rPr>
          <w:rFonts w:cs="Arial" w:ascii="Arial" w:hAnsi="Arial"/>
          <w:i/>
        </w:rPr>
        <w:t>Dz.U. 2011 Nr 8 poz. 31).</w:t>
      </w:r>
      <w:r>
        <w:rPr>
          <w:rFonts w:cs="Arial" w:ascii="Arial" w:hAnsi="Arial"/>
        </w:rPr>
        <w:t xml:space="preserve"> </w:t>
      </w:r>
      <w:r>
        <w:rPr>
          <w:rFonts w:cs="Arial" w:ascii="Arial" w:hAnsi="Arial"/>
          <w:color w:val="000000"/>
        </w:rPr>
        <w:t xml:space="preserve">Rozporządzenie wprowadza obowiązek inwentaryzacji poprzez sporządzenie spisu z natury </w:t>
      </w:r>
      <w:r>
        <w:rPr>
          <w:rFonts w:eastAsia="UniversPro-Roman" w:cs="Arial" w:ascii="Arial" w:hAnsi="Arial"/>
        </w:rPr>
        <w:t>wyrobów zawierających azbest, instalacji lub urządzeń zawierających azbest, dróg utwardzonych odpadami zawierającymi azbest, rur azbestowo-cementowych oraz usuniętych wyroby zawierające azbest. Wykorzystujący wyroby zawierające azbest powinien ująć wyniki inwentaryzacji w „Informacji o wyrobach zawierających azbest”, która stanowi załącznik nr 2 do rozporządzenia i przedłożyć ją corocznie w terminie do dnia 31 stycznia właściwemu marszałkowi województwa. Osoby fizyczne niebędące przedsiębiorcami mają zaś obowiązek złożenia tejże informacji właściwemu wójtowi, burmistrzowi lub prezydentowi miasta</w:t>
      </w:r>
      <w:r>
        <w:rPr>
          <w:rFonts w:eastAsia="UniversPro-Roman" w:cs="Arial" w:ascii="Arial" w:hAnsi="Arial"/>
          <w:sz w:val="19"/>
          <w:szCs w:val="19"/>
        </w:rPr>
        <w:t>.</w:t>
      </w:r>
    </w:p>
    <w:p>
      <w:pPr>
        <w:pStyle w:val="ListParagraph"/>
        <w:rPr>
          <w:rFonts w:ascii="Arial" w:hAnsi="Arial" w:cs="Arial"/>
          <w:color w:val="000000"/>
        </w:rPr>
      </w:pPr>
      <w:r>
        <w:rPr>
          <w:rFonts w:cs="Arial" w:ascii="Arial" w:hAnsi="Arial"/>
          <w:color w:val="000000"/>
        </w:rPr>
      </w:r>
    </w:p>
    <w:p>
      <w:pPr>
        <w:pStyle w:val="ListParagraph"/>
        <w:numPr>
          <w:ilvl w:val="0"/>
          <w:numId w:val="6"/>
        </w:numPr>
        <w:spacing w:lineRule="auto" w:line="360" w:before="0" w:after="0"/>
        <w:contextualSpacing/>
        <w:jc w:val="both"/>
        <w:rPr>
          <w:rFonts w:ascii="Arial" w:hAnsi="Arial" w:cs="Arial"/>
          <w:i/>
          <w:i/>
          <w:color w:val="000000"/>
        </w:rPr>
      </w:pPr>
      <w:r>
        <w:rPr>
          <w:rFonts w:cs="Arial" w:ascii="Arial" w:hAnsi="Arial"/>
          <w:i/>
          <w:color w:val="000000"/>
        </w:rPr>
        <w:t>Rozporządzenie Ministra Gospodarki i Pracy z dnia 14 października 2005 r. w sprawie zasad bezpieczeństwa i higieny pracy przy zabezpieczaniu i usuwaniu wyrobów zawierających azbest oraz programu szkolenia w zakresie bezpiecznego użytkowania takich wyrobów (Dz. U. 2005  Nr 216poz. 1824)</w:t>
      </w:r>
    </w:p>
    <w:p>
      <w:pPr>
        <w:pStyle w:val="ListParagraph"/>
        <w:rPr>
          <w:rFonts w:ascii="Arial" w:hAnsi="Arial" w:cs="Arial"/>
          <w:color w:val="000000"/>
        </w:rPr>
      </w:pPr>
      <w:r>
        <w:rPr>
          <w:rFonts w:cs="Arial" w:ascii="Arial" w:hAnsi="Arial"/>
          <w:color w:val="000000"/>
        </w:rPr>
        <w:t xml:space="preserve"> </w:t>
      </w:r>
    </w:p>
    <w:p>
      <w:pPr>
        <w:pStyle w:val="ListParagraph"/>
        <w:numPr>
          <w:ilvl w:val="0"/>
          <w:numId w:val="6"/>
        </w:numPr>
        <w:spacing w:lineRule="auto" w:line="360" w:before="0" w:after="0"/>
        <w:contextualSpacing/>
        <w:jc w:val="both"/>
        <w:rPr>
          <w:rFonts w:ascii="Arial" w:hAnsi="Arial" w:cs="Arial"/>
          <w:i/>
          <w:i/>
          <w:color w:val="000000"/>
        </w:rPr>
      </w:pPr>
      <w:r>
        <w:rPr>
          <w:rFonts w:cs="Arial" w:ascii="Arial" w:hAnsi="Arial"/>
          <w:i/>
          <w:color w:val="000000"/>
        </w:rPr>
        <w:t>Rozporządzenie Ministra Zdrowia z dnia 24 lipca 2012 r. w sprawie substancji chemicznych, ich mieszanin, czynników lub procesów technologicznych o działaniu rakotwórczym lub mutagennym w środowisku pracy (t.j. Dz.U. 2016 poz. 1117</w:t>
      </w:r>
      <w:r>
        <w:rPr>
          <w:rFonts w:cs="Arial" w:ascii="Arial" w:hAnsi="Arial"/>
          <w:i/>
        </w:rPr>
        <w:t>.</w:t>
      </w:r>
      <w:r>
        <w:rPr>
          <w:rFonts w:cs="Arial" w:ascii="Arial" w:hAnsi="Arial"/>
          <w:i/>
          <w:color w:val="000000"/>
        </w:rPr>
        <w:t>)</w:t>
      </w:r>
    </w:p>
    <w:p>
      <w:pPr>
        <w:pStyle w:val="ListParagraph"/>
        <w:rPr>
          <w:rFonts w:ascii="Arial" w:hAnsi="Arial" w:cs="Arial"/>
          <w:color w:val="000000"/>
        </w:rPr>
      </w:pPr>
      <w:r>
        <w:rPr>
          <w:rFonts w:cs="Arial" w:ascii="Arial" w:hAnsi="Arial"/>
          <w:color w:val="000000"/>
        </w:rPr>
      </w:r>
    </w:p>
    <w:p>
      <w:pPr>
        <w:pStyle w:val="ListParagraph"/>
        <w:numPr>
          <w:ilvl w:val="0"/>
          <w:numId w:val="6"/>
        </w:numPr>
        <w:spacing w:lineRule="auto" w:line="360" w:before="0" w:after="0"/>
        <w:contextualSpacing/>
        <w:jc w:val="both"/>
        <w:rPr>
          <w:rFonts w:ascii="Arial" w:hAnsi="Arial" w:cs="Arial"/>
          <w:i/>
          <w:i/>
          <w:color w:val="000000"/>
        </w:rPr>
      </w:pPr>
      <w:r>
        <w:rPr>
          <w:rFonts w:cs="Arial" w:ascii="Arial" w:hAnsi="Arial"/>
          <w:i/>
          <w:color w:val="000000"/>
        </w:rPr>
        <w:t>Rozporządzenie Ministra Zdrowia z dnia 2 lutego 2011 r. w sprawie badań i pomiarów czynników szkodliwych dla zdrowia w środowisku pracy (Dz.U. 2011 Nr 33 poz. 166)</w:t>
      </w:r>
    </w:p>
    <w:p>
      <w:pPr>
        <w:pStyle w:val="ListParagraph"/>
        <w:rPr>
          <w:rFonts w:ascii="Arial" w:hAnsi="Arial" w:cs="Arial"/>
          <w:i/>
          <w:i/>
          <w:color w:val="000000"/>
        </w:rPr>
      </w:pPr>
      <w:r>
        <w:rPr>
          <w:rFonts w:cs="Arial" w:ascii="Arial" w:hAnsi="Arial"/>
          <w:i/>
          <w:color w:val="000000"/>
        </w:rPr>
      </w:r>
    </w:p>
    <w:p>
      <w:pPr>
        <w:pStyle w:val="ListParagraph"/>
        <w:numPr>
          <w:ilvl w:val="0"/>
          <w:numId w:val="6"/>
        </w:numPr>
        <w:spacing w:lineRule="auto" w:line="360" w:before="0" w:after="0"/>
        <w:contextualSpacing/>
        <w:jc w:val="both"/>
        <w:rPr>
          <w:rFonts w:ascii="Arial" w:hAnsi="Arial" w:cs="Arial"/>
          <w:i/>
          <w:i/>
          <w:color w:val="000000"/>
        </w:rPr>
      </w:pPr>
      <w:r>
        <w:rPr>
          <w:rFonts w:cs="Arial" w:ascii="Arial" w:hAnsi="Arial"/>
          <w:i/>
          <w:color w:val="000000"/>
        </w:rPr>
        <w:t>Rozporządzenie Ministra Zdrowia z dnia 15 września 2005 r. w sprawie leków związanych z chorobami wywołanymi pracą przy azbeście (Dz. U.  2005 Nr 189, poz. 1603)</w:t>
      </w:r>
    </w:p>
    <w:p>
      <w:pPr>
        <w:pStyle w:val="ListParagraph"/>
        <w:rPr>
          <w:rFonts w:ascii="Arial" w:hAnsi="Arial" w:cs="Arial"/>
          <w:color w:val="000000"/>
        </w:rPr>
      </w:pPr>
      <w:r>
        <w:rPr>
          <w:rFonts w:cs="Arial" w:ascii="Arial" w:hAnsi="Arial"/>
          <w:color w:val="000000"/>
        </w:rPr>
      </w:r>
    </w:p>
    <w:p>
      <w:pPr>
        <w:pStyle w:val="ListParagraph"/>
        <w:spacing w:lineRule="auto" w:line="360" w:before="0" w:after="0"/>
        <w:ind w:left="360" w:hanging="0"/>
        <w:contextualSpacing/>
        <w:jc w:val="both"/>
        <w:rPr>
          <w:rFonts w:ascii="Arial" w:hAnsi="Arial" w:cs="Arial"/>
          <w:color w:val="000000"/>
        </w:rPr>
      </w:pPr>
      <w:r>
        <w:rPr>
          <w:rFonts w:cs="Arial" w:ascii="Arial" w:hAnsi="Arial"/>
          <w:color w:val="000000"/>
        </w:rPr>
      </w:r>
    </w:p>
    <w:p>
      <w:pPr>
        <w:pStyle w:val="ListParagraph"/>
        <w:numPr>
          <w:ilvl w:val="0"/>
          <w:numId w:val="6"/>
        </w:numPr>
        <w:spacing w:lineRule="auto" w:line="360" w:before="0" w:after="0"/>
        <w:contextualSpacing/>
        <w:jc w:val="both"/>
        <w:rPr>
          <w:rFonts w:ascii="Arial" w:hAnsi="Arial" w:cs="Arial"/>
          <w:i/>
          <w:i/>
          <w:color w:val="000000"/>
        </w:rPr>
      </w:pPr>
      <w:r>
        <w:rPr>
          <w:rFonts w:cs="Arial" w:ascii="Arial" w:hAnsi="Arial"/>
          <w:i/>
          <w:color w:val="000000"/>
        </w:rPr>
        <w:t>Rozporządzenie Ministra Zdrowia z dnia 10 stycznia 2005 r. w sprawie wzoru książeczki badań profilaktycznych dla osoby, która była lub jest zatrudniona w warunkach narażenia zawodowego w zakładach stosujących azbest w procesach technologicznych, sposobu jej wypełnienia i aktualizacji (Dz. U. 2005 Nr 13, poz. 109)</w:t>
      </w:r>
    </w:p>
    <w:p>
      <w:pPr>
        <w:pStyle w:val="ListParagraph"/>
        <w:rPr>
          <w:rFonts w:ascii="Arial" w:hAnsi="Arial" w:cs="Arial"/>
          <w:color w:val="000000"/>
        </w:rPr>
      </w:pPr>
      <w:r>
        <w:rPr>
          <w:rFonts w:cs="Arial" w:ascii="Arial" w:hAnsi="Arial"/>
          <w:color w:val="000000"/>
        </w:rPr>
      </w:r>
    </w:p>
    <w:p>
      <w:pPr>
        <w:pStyle w:val="ListParagraph"/>
        <w:numPr>
          <w:ilvl w:val="0"/>
          <w:numId w:val="6"/>
        </w:numPr>
        <w:spacing w:lineRule="auto" w:line="360" w:before="0" w:after="0"/>
        <w:contextualSpacing/>
        <w:jc w:val="both"/>
        <w:rPr>
          <w:rFonts w:ascii="Arial" w:hAnsi="Arial" w:cs="Arial"/>
          <w:i/>
          <w:i/>
          <w:color w:val="000000"/>
        </w:rPr>
      </w:pPr>
      <w:r>
        <w:rPr>
          <w:rFonts w:cs="Arial" w:ascii="Arial" w:hAnsi="Arial"/>
          <w:i/>
          <w:color w:val="000000"/>
        </w:rPr>
        <w:t>Rozporządzenie Ministra Zdrowia z dnia 9 sierpnia 2004 r. w sprawie leczenia uzdrowiskowego osób zatrudnionych przy produkcji wyrobów zawierających azbest (Dz. U. 2004  Nr 185, poz. 1920, z późn. zm.)</w:t>
      </w:r>
    </w:p>
    <w:p>
      <w:pPr>
        <w:pStyle w:val="ListParagraph"/>
        <w:spacing w:lineRule="auto" w:line="360" w:before="0" w:after="0"/>
        <w:ind w:left="0" w:hanging="0"/>
        <w:contextualSpacing/>
        <w:jc w:val="both"/>
        <w:rPr>
          <w:rFonts w:ascii="Arial" w:hAnsi="Arial" w:cs="Arial"/>
          <w:color w:val="000000"/>
        </w:rPr>
      </w:pPr>
      <w:r>
        <w:rPr>
          <w:rFonts w:cs="Arial" w:ascii="Arial" w:hAnsi="Arial"/>
          <w:color w:val="000000"/>
        </w:rPr>
      </w:r>
    </w:p>
    <w:p>
      <w:pPr>
        <w:pStyle w:val="ListParagraph"/>
        <w:numPr>
          <w:ilvl w:val="0"/>
          <w:numId w:val="6"/>
        </w:numPr>
        <w:spacing w:lineRule="auto" w:line="360" w:before="0" w:after="0"/>
        <w:contextualSpacing/>
        <w:jc w:val="both"/>
        <w:rPr>
          <w:rFonts w:ascii="Arial" w:hAnsi="Arial" w:cs="Arial"/>
          <w:i/>
          <w:i/>
          <w:color w:val="000000"/>
        </w:rPr>
      </w:pPr>
      <w:r>
        <w:rPr>
          <w:rFonts w:cs="Arial" w:ascii="Arial" w:hAnsi="Arial"/>
          <w:i/>
          <w:color w:val="000000"/>
        </w:rPr>
        <w:t>Rozporządzenie Ministra Zdrowia z dnia 4 sierpnia 2004 r. w sprawie okresowych badań lekarskich pracowników zatrudnionych w zakładach, które stosowały azbest w produkcji (Dz. U.  2004 Nr 183, poz. 1896)</w:t>
      </w:r>
    </w:p>
    <w:p>
      <w:pPr>
        <w:pStyle w:val="ListParagraph"/>
        <w:spacing w:lineRule="auto" w:line="360" w:before="0" w:after="0"/>
        <w:ind w:left="0" w:hanging="0"/>
        <w:contextualSpacing/>
        <w:jc w:val="both"/>
        <w:rPr>
          <w:rFonts w:ascii="Arial" w:hAnsi="Arial" w:cs="Arial"/>
          <w:color w:val="000000"/>
        </w:rPr>
      </w:pPr>
      <w:r>
        <w:rPr>
          <w:rFonts w:cs="Arial" w:ascii="Arial" w:hAnsi="Arial"/>
          <w:color w:val="000000"/>
        </w:rPr>
      </w:r>
    </w:p>
    <w:p>
      <w:pPr>
        <w:pStyle w:val="ListParagraph"/>
        <w:numPr>
          <w:ilvl w:val="0"/>
          <w:numId w:val="6"/>
        </w:numPr>
        <w:spacing w:lineRule="auto" w:line="360" w:before="0" w:after="0"/>
        <w:contextualSpacing/>
        <w:jc w:val="both"/>
        <w:rPr>
          <w:rFonts w:ascii="Arial" w:hAnsi="Arial" w:cs="Arial"/>
          <w:i/>
          <w:i/>
          <w:color w:val="000000"/>
        </w:rPr>
      </w:pPr>
      <w:hyperlink r:id="rId11" w:tgtFrame="_blank">
        <w:r>
          <w:rPr>
            <w:rStyle w:val="Czeinternetowe"/>
            <w:rFonts w:cs="Arial" w:ascii="Arial" w:hAnsi="Arial"/>
            <w:i/>
            <w:color w:val="000000"/>
            <w:u w:val="none"/>
          </w:rPr>
          <w:t>Zarządzenie Ministra Zdrowia i Opieki Społecznej z dnia 12 marca 1996 r. w sprawie dopuszczalnych stężeń i natężeń czynników szkodliwych dla zdrowia, wydzielanych przez materiały budowlane, urządzenia i elementy wyposażenia w pomieszczeniach przeznaczonych na pobyt ludzi</w:t>
        </w:r>
      </w:hyperlink>
      <w:r>
        <w:rPr>
          <w:rFonts w:cs="Arial" w:ascii="Arial" w:hAnsi="Arial"/>
          <w:i/>
          <w:color w:val="000000"/>
        </w:rPr>
        <w:t xml:space="preserve"> (M.P. 1996 Nr 19 poz. 231).</w:t>
      </w:r>
    </w:p>
    <w:p>
      <w:pPr>
        <w:pStyle w:val="Nagwek2"/>
        <w:spacing w:before="0" w:after="0"/>
        <w:jc w:val="both"/>
        <w:rPr/>
      </w:pPr>
      <w:r>
        <w:rPr/>
      </w:r>
    </w:p>
    <w:p>
      <w:pPr>
        <w:pStyle w:val="Normal"/>
        <w:spacing w:lineRule="auto" w:line="240" w:before="0" w:after="0"/>
        <w:rPr/>
      </w:pPr>
      <w:r>
        <w:rPr/>
      </w:r>
      <w:r>
        <w:br w:type="page"/>
      </w:r>
    </w:p>
    <w:p>
      <w:pPr>
        <w:pStyle w:val="Nagwek2"/>
        <w:spacing w:before="0" w:after="0"/>
        <w:jc w:val="both"/>
        <w:rPr/>
      </w:pPr>
      <w:bookmarkStart w:id="42" w:name="_Toc20296867"/>
      <w:bookmarkStart w:id="43" w:name="_Toc335395342"/>
      <w:r>
        <w:rPr/>
        <w:t>3.3. Zasady postępowania z wyrobami zawierającymi azbest w aspekcie obowiązującego prawa</w:t>
      </w:r>
      <w:bookmarkEnd w:id="42"/>
      <w:bookmarkEnd w:id="43"/>
    </w:p>
    <w:p>
      <w:pPr>
        <w:pStyle w:val="Normal"/>
        <w:spacing w:lineRule="auto" w:line="360"/>
        <w:ind w:firstLine="426"/>
        <w:jc w:val="both"/>
        <w:rPr>
          <w:rFonts w:ascii="Arial" w:hAnsi="Arial" w:cs="Arial"/>
        </w:rPr>
      </w:pPr>
      <w:r>
        <w:rPr>
          <w:rFonts w:cs="Arial" w:ascii="Arial" w:hAnsi="Arial"/>
        </w:rPr>
      </w:r>
    </w:p>
    <w:p>
      <w:pPr>
        <w:pStyle w:val="Normal"/>
        <w:spacing w:lineRule="auto" w:line="360" w:before="0" w:after="0"/>
        <w:ind w:firstLine="709"/>
        <w:jc w:val="both"/>
        <w:rPr>
          <w:rFonts w:ascii="Arial" w:hAnsi="Arial" w:cs="Arial"/>
        </w:rPr>
      </w:pPr>
      <w:r>
        <w:rPr>
          <w:rFonts w:cs="Arial" w:ascii="Arial" w:hAnsi="Arial"/>
        </w:rPr>
        <w:t>Przepisy określające zasady bezpiecznego postępowania z wyrobami i odpadami zawierającymi azbest narzuciły szereg obowiązków, zarówno na właścicieli obiektów</w:t>
        <w:br/>
        <w:t>i urządzeń, gdzie został użyty azbest jak i na prowadzących wszelkiego rodzaju prace związane z usuwaniem bądź transportem czy umieszczeniem na składowisku wyrobów</w:t>
        <w:br/>
        <w:t>i odpadów zawierających azbest – procedury postępowania przedstawiono w rozdziałach poniżej.</w:t>
      </w:r>
    </w:p>
    <w:p>
      <w:pPr>
        <w:pStyle w:val="NoSpacing"/>
        <w:rPr>
          <w:rFonts w:ascii="Arial" w:hAnsi="Arial" w:cs="Arial"/>
          <w:i/>
          <w:i/>
        </w:rPr>
      </w:pPr>
      <w:r>
        <w:rPr/>
        <w:drawing>
          <wp:inline distT="0" distB="0" distL="0" distR="0" wp14:anchorId="67437508">
            <wp:extent cx="6269990" cy="6327140"/>
            <wp:effectExtent l="76200" t="0" r="95250" b="76200"/>
            <wp:docPr id="5" name="Diagram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pPr>
        <w:pStyle w:val="ListParagraph"/>
        <w:numPr>
          <w:ilvl w:val="1"/>
          <w:numId w:val="5"/>
        </w:numPr>
        <w:jc w:val="both"/>
        <w:rPr>
          <w:rFonts w:ascii="Arial" w:hAnsi="Arial" w:cs="Arial"/>
          <w:vanish/>
          <w:sz w:val="24"/>
          <w:szCs w:val="24"/>
        </w:rPr>
      </w:pPr>
      <w:r>
        <w:rPr>
          <w:rFonts w:cs="Arial" w:ascii="Arial" w:hAnsi="Arial"/>
          <w:vanish/>
          <w:sz w:val="24"/>
          <w:szCs w:val="24"/>
        </w:rPr>
      </w:r>
    </w:p>
    <w:p>
      <w:pPr>
        <w:pStyle w:val="ListParagraph"/>
        <w:ind w:left="0" w:hanging="0"/>
        <w:jc w:val="both"/>
        <w:rPr/>
      </w:pPr>
      <w:r>
        <w:rPr/>
      </w:r>
    </w:p>
    <w:p>
      <w:pPr>
        <w:pStyle w:val="Nagwek2"/>
        <w:jc w:val="both"/>
        <w:rPr/>
      </w:pPr>
      <w:bookmarkStart w:id="44" w:name="_Toc20296868"/>
      <w:bookmarkStart w:id="45" w:name="_Toc332200563"/>
      <w:bookmarkStart w:id="46" w:name="_Toc335395343"/>
      <w:r>
        <w:rPr/>
        <w:t>3.4. Obowiązki właścicieli i zarządzających obiektami, instalacjami i urządzeniami zawierającymi azbest</w:t>
      </w:r>
      <w:bookmarkEnd w:id="44"/>
      <w:bookmarkEnd w:id="45"/>
      <w:bookmarkEnd w:id="46"/>
    </w:p>
    <w:p>
      <w:pPr>
        <w:pStyle w:val="Nagwek2"/>
        <w:rPr/>
      </w:pPr>
      <w:r>
        <w:rPr/>
      </w:r>
    </w:p>
    <w:p>
      <w:pPr>
        <w:pStyle w:val="Normal"/>
        <w:spacing w:lineRule="auto" w:line="360" w:before="0" w:after="0"/>
        <w:ind w:left="426" w:firstLine="708"/>
        <w:rPr>
          <w:rFonts w:ascii="Arial" w:hAnsi="Arial" w:cs="Arial"/>
        </w:rPr>
      </w:pPr>
      <w:r>
        <w:rPr>
          <w:rFonts w:cs="Arial" w:ascii="Arial" w:hAnsi="Arial"/>
          <w:b/>
        </w:rPr>
        <w:t xml:space="preserve">Procedura 1. </w:t>
      </w:r>
      <w:r>
        <w:rPr>
          <w:rFonts w:cs="Arial" w:ascii="Arial" w:hAnsi="Arial"/>
        </w:rPr>
        <w:t>Obowiązki i postępowanie właścicieli oraz zarządców, przy</w:t>
      </w:r>
    </w:p>
    <w:p>
      <w:pPr>
        <w:pStyle w:val="Normal"/>
        <w:spacing w:lineRule="auto" w:line="360" w:before="0" w:after="0"/>
        <w:ind w:left="3005" w:hanging="173"/>
        <w:rPr>
          <w:rFonts w:ascii="Arial" w:hAnsi="Arial" w:cs="Arial"/>
        </w:rPr>
      </w:pPr>
      <w:r>
        <w:rPr>
          <w:rFonts w:cs="Arial" w:ascii="Arial" w:hAnsi="Arial"/>
        </w:rPr>
        <w:t>użytkowaniu obiektów i terenów z wyrobami zawierającymi azbest.</w:t>
      </w:r>
    </w:p>
    <w:p>
      <w:pPr>
        <w:pStyle w:val="Normal"/>
        <w:tabs>
          <w:tab w:val="left" w:pos="1134" w:leader="none"/>
        </w:tabs>
        <w:ind w:left="2835" w:hanging="1701"/>
        <w:jc w:val="both"/>
        <w:rPr>
          <w:rFonts w:ascii="Arial" w:hAnsi="Arial" w:cs="Arial"/>
        </w:rPr>
      </w:pPr>
      <w:r>
        <w:rPr>
          <w:rFonts w:cs="Arial" w:ascii="Arial" w:hAnsi="Arial"/>
          <w:b/>
        </w:rPr>
        <w:t xml:space="preserve">Procedura 2. </w:t>
      </w:r>
      <w:r>
        <w:rPr>
          <w:rFonts w:cs="Arial" w:ascii="Arial" w:hAnsi="Arial"/>
        </w:rPr>
        <w:t>Obowiązki i postępowanie właścicieli i zarządców, przy usuwaniu wyrobów zawierających azbest z obiektów lub terenów.</w:t>
      </w:r>
    </w:p>
    <w:p>
      <w:pPr>
        <w:pStyle w:val="Normal"/>
        <w:tabs>
          <w:tab w:val="left" w:pos="1134" w:leader="none"/>
        </w:tabs>
        <w:ind w:left="2835" w:hanging="1701"/>
        <w:jc w:val="both"/>
        <w:rPr>
          <w:rFonts w:ascii="Arial" w:hAnsi="Arial" w:cs="Arial"/>
        </w:rPr>
      </w:pPr>
      <w:r>
        <w:rPr>
          <w:rFonts w:cs="Arial" w:ascii="Arial" w:hAnsi="Arial"/>
        </w:rPr>
      </w:r>
    </w:p>
    <w:p>
      <w:pPr>
        <w:pStyle w:val="Normal"/>
        <w:jc w:val="both"/>
        <w:rPr>
          <w:rFonts w:ascii="Arial" w:hAnsi="Arial" w:cs="Arial"/>
        </w:rPr>
      </w:pPr>
      <w:r>
        <w:rPr>
          <w:rFonts w:cs="Arial" w:ascii="Arial" w:hAnsi="Arial"/>
          <w:b/>
          <w:i/>
          <w:u w:val="single"/>
        </w:rPr>
        <w:t>P R O C E D U R A 1.</w:t>
      </w:r>
    </w:p>
    <w:p>
      <w:pPr>
        <w:pStyle w:val="Normal"/>
        <w:spacing w:lineRule="auto" w:line="360"/>
        <w:jc w:val="both"/>
        <w:rPr>
          <w:rFonts w:ascii="Arial" w:hAnsi="Arial" w:cs="Arial"/>
        </w:rPr>
      </w:pPr>
      <w:r>
        <w:rPr>
          <w:rFonts w:cs="Arial" w:ascii="Arial" w:hAnsi="Arial"/>
        </w:rPr>
        <w:t>Zakres procedury obejmuje przedstawienie zakresu obowiązków i zasad postępowania właścicieli i zarządców budynków, budowli, instalacji lub urządzeń oraz terenów gdzie znajduje się azbest lub wyroby zawierające azbest. Procedura dotyczy bezpiecznego ich użytkowania.</w:t>
      </w:r>
    </w:p>
    <w:p>
      <w:pPr>
        <w:pStyle w:val="Normal"/>
        <w:rPr>
          <w:rFonts w:ascii="Arial" w:hAnsi="Arial" w:cs="Arial"/>
          <w:i/>
          <w:i/>
          <w:sz w:val="20"/>
          <w:szCs w:val="20"/>
        </w:rPr>
      </w:pPr>
      <w:r>
        <w:rPr/>
        <w:drawing>
          <wp:inline distT="0" distB="0" distL="0" distR="0" wp14:anchorId="35B65845">
            <wp:extent cx="5937250" cy="3901440"/>
            <wp:effectExtent l="95250" t="38100" r="85090" b="82550"/>
            <wp:docPr id="6" name="Diagram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pPr>
        <w:pStyle w:val="Normal"/>
        <w:spacing w:lineRule="auto" w:line="360" w:before="0" w:after="0"/>
        <w:ind w:firstLine="709"/>
        <w:jc w:val="both"/>
        <w:rPr>
          <w:rFonts w:ascii="Arial" w:hAnsi="Arial" w:cs="Arial"/>
          <w:color w:val="000000"/>
        </w:rPr>
      </w:pPr>
      <w:r>
        <w:rPr>
          <w:rFonts w:cs="Arial" w:ascii="Arial" w:hAnsi="Arial"/>
          <w:color w:val="000000"/>
        </w:rPr>
        <w:t>Właściciel lub zarządca budynku, budowli, instalacji lub urządzenia technicznego oraz terenu, gdzie znajdują się wyroby zawierające azbest, ma obowiązek sporządzenia – w jednym egzemplarzu „Oceny stanu i możliwości bezpiecznego użytkowania wyrobów zawierających azbest” (załącznik 1). Właściciele lub zarządcy, którzy spełnili ten obowiązek wcześniej – sporządzają następne „Oceny...” w terminach wynikających z warunków poprzedniej „Oceny...” tzn. jeśli podczas przeprowadzonej oceny stwierdzono następującą ilość sumy wszystkich punktów:</w:t>
      </w:r>
    </w:p>
    <w:p>
      <w:pPr>
        <w:pStyle w:val="ListParagraph"/>
        <w:numPr>
          <w:ilvl w:val="0"/>
          <w:numId w:val="7"/>
        </w:numPr>
        <w:spacing w:lineRule="auto" w:line="360" w:before="0" w:after="0"/>
        <w:contextualSpacing/>
        <w:jc w:val="both"/>
        <w:rPr>
          <w:rFonts w:ascii="Arial" w:hAnsi="Arial" w:cs="Arial"/>
          <w:color w:val="000000"/>
        </w:rPr>
      </w:pPr>
      <w:r>
        <w:rPr>
          <w:rFonts w:cs="Arial" w:ascii="Arial" w:hAnsi="Arial"/>
          <w:color w:val="000000"/>
        </w:rPr>
        <w:t>Stopień pilności I od 120 punktów - wymagane pilnie usunięcie (wymiana na wyrób bezazbestowy) lub zabezpieczenie.</w:t>
      </w:r>
    </w:p>
    <w:p>
      <w:pPr>
        <w:pStyle w:val="ListParagraph"/>
        <w:numPr>
          <w:ilvl w:val="0"/>
          <w:numId w:val="7"/>
        </w:numPr>
        <w:spacing w:lineRule="auto" w:line="360" w:before="0" w:after="0"/>
        <w:contextualSpacing/>
        <w:jc w:val="both"/>
        <w:rPr>
          <w:rFonts w:ascii="Arial" w:hAnsi="Arial" w:cs="Arial"/>
          <w:color w:val="000000"/>
        </w:rPr>
      </w:pPr>
      <w:r>
        <w:rPr>
          <w:rFonts w:cs="Arial" w:ascii="Arial" w:hAnsi="Arial"/>
          <w:color w:val="000000"/>
        </w:rPr>
        <w:t>Stopień pilności II od 95 do 115 punktów - wymagana ponowna ocena w terminie do 1 roku.</w:t>
      </w:r>
    </w:p>
    <w:p>
      <w:pPr>
        <w:pStyle w:val="ListParagraph"/>
        <w:numPr>
          <w:ilvl w:val="0"/>
          <w:numId w:val="7"/>
        </w:numPr>
        <w:spacing w:lineRule="auto" w:line="360" w:before="0" w:after="0"/>
        <w:contextualSpacing/>
        <w:jc w:val="both"/>
        <w:rPr>
          <w:rFonts w:ascii="Arial" w:hAnsi="Arial" w:cs="Arial"/>
          <w:color w:val="000000"/>
        </w:rPr>
      </w:pPr>
      <w:r>
        <w:rPr>
          <w:rFonts w:cs="Arial" w:ascii="Arial" w:hAnsi="Arial"/>
          <w:color w:val="000000"/>
        </w:rPr>
        <w:t xml:space="preserve">Stopień pilności III do 90 punktów - wymagana ponowna ocena w terminie do 5 lat. </w:t>
      </w:r>
    </w:p>
    <w:p>
      <w:pPr>
        <w:pStyle w:val="Normal"/>
        <w:spacing w:lineRule="auto" w:line="360" w:before="0" w:after="0"/>
        <w:ind w:firstLine="709"/>
        <w:jc w:val="both"/>
        <w:rPr>
          <w:rFonts w:ascii="Arial" w:hAnsi="Arial" w:cs="Arial"/>
        </w:rPr>
      </w:pPr>
      <w:r>
        <w:rPr>
          <w:rFonts w:cs="Arial" w:ascii="Arial" w:hAnsi="Arial"/>
          <w:color w:val="000000"/>
        </w:rPr>
        <w:t xml:space="preserve">Z przeprowadzonej kontroli okresowej sporządza się w </w:t>
      </w:r>
      <w:r>
        <w:rPr>
          <w:rStyle w:val="Txtold"/>
          <w:rFonts w:cs="Arial" w:ascii="Arial" w:hAnsi="Arial"/>
          <w:vanish/>
          <w:color w:val="000000"/>
        </w:rPr>
        <w:t>dwóch egzemplarzach</w:t>
      </w:r>
      <w:r>
        <w:rPr>
          <w:rStyle w:val="Txtnew"/>
          <w:rFonts w:cs="Arial" w:ascii="Arial" w:hAnsi="Arial"/>
          <w:color w:val="000000"/>
        </w:rPr>
        <w:t>jednym egzemplarzu</w:t>
      </w:r>
      <w:r>
        <w:rPr>
          <w:rFonts w:cs="Arial" w:ascii="Arial" w:hAnsi="Arial"/>
          <w:color w:val="000000"/>
        </w:rPr>
        <w:t xml:space="preserve"> ocenę stanu i możliwości bezpiecznego użytkowania wyrobów zawierających azbest, </w:t>
      </w:r>
      <w:r>
        <w:rPr>
          <w:rStyle w:val="Txtnew"/>
          <w:rFonts w:cs="Arial" w:ascii="Arial" w:hAnsi="Arial"/>
          <w:color w:val="000000"/>
        </w:rPr>
        <w:t xml:space="preserve">ocenę przechowuje się łącznie z dokumentacją miejsca zawierającego azbest, obiektu, urządzenia budowlanego lub instalacji przemysłowej. Dla budynków oraz obiektów budowlanych niebędących budynkami, dla których jest prowadzona książka obiektu budowlanego na podstawie </w:t>
      </w:r>
      <w:hyperlink r:id="rId22">
        <w:r>
          <w:rPr>
            <w:rStyle w:val="Czeinternetowe"/>
            <w:rFonts w:cs="Arial" w:ascii="Arial" w:hAnsi="Arial"/>
            <w:color w:val="000000"/>
            <w:u w:val="none"/>
          </w:rPr>
          <w:t>art. 64 ust. 1</w:t>
        </w:r>
      </w:hyperlink>
      <w:r>
        <w:rPr>
          <w:rStyle w:val="Txtnew"/>
          <w:rFonts w:cs="Arial" w:ascii="Arial" w:hAnsi="Arial"/>
          <w:color w:val="000000"/>
        </w:rPr>
        <w:t xml:space="preserve"> </w:t>
      </w:r>
      <w:r>
        <w:rPr>
          <w:rStyle w:val="Txtnew"/>
          <w:rFonts w:cs="Arial" w:ascii="Arial" w:hAnsi="Arial"/>
          <w:i/>
          <w:color w:val="000000"/>
        </w:rPr>
        <w:t>Ustawy z dnia 7 lipca 1994 r. - Prawo budowlane</w:t>
      </w:r>
      <w:r>
        <w:rPr>
          <w:rStyle w:val="Txtnew"/>
          <w:rFonts w:cs="Arial" w:ascii="Arial" w:hAnsi="Arial"/>
          <w:color w:val="000000"/>
        </w:rPr>
        <w:t>, ocena ta powinna być dołączona do książki obiektu budowlanego.</w:t>
      </w:r>
    </w:p>
    <w:p>
      <w:pPr>
        <w:pStyle w:val="Normal"/>
        <w:spacing w:lineRule="auto" w:line="360" w:before="0" w:after="0"/>
        <w:ind w:firstLine="708"/>
        <w:jc w:val="both"/>
        <w:rPr>
          <w:rFonts w:ascii="Arial" w:hAnsi="Arial" w:cs="Arial"/>
        </w:rPr>
      </w:pPr>
      <w:r>
        <w:rPr>
          <w:rFonts w:cs="Arial" w:ascii="Arial" w:hAnsi="Arial"/>
        </w:rPr>
        <w:t>Właściciel lub zarządca obowiązany jest do przeprowadzenia inwentaryzacji (spisu z natury) wyrobów zawierających azbest. Wyniki inwentaryzacji powinny służyć do sporządzenia informacji dla wójta, burmistrza lub prezydenta miasta – właściwego dla miejsca położenia  budynku, budowli, instalacji lub urządzenia oraz terenu z wyrobami zawierającymi azbest. Wzory informacji według załącznika nr 2 – Informacja o wyrobach zawierających azbest i miejscu ich wykorzystywania.</w:t>
      </w:r>
    </w:p>
    <w:p>
      <w:pPr>
        <w:pStyle w:val="Normal"/>
        <w:spacing w:lineRule="auto" w:line="360"/>
        <w:ind w:firstLine="709"/>
        <w:jc w:val="both"/>
        <w:rPr>
          <w:rFonts w:ascii="Arial" w:hAnsi="Arial" w:cs="Arial"/>
        </w:rPr>
      </w:pPr>
      <w:r>
        <w:rPr>
          <w:rFonts w:cs="Arial" w:ascii="Arial" w:hAnsi="Arial"/>
        </w:rPr>
        <w:t xml:space="preserve">Informację przedkłada się corocznie celem wykazania ewentualnych zmian w ilości posiadanych wyrobów zawierających azbest – co pozwoli na ocenę zagrożenia dla ludzi </w:t>
        <w:br/>
        <w:t>i środowiska w danym rejonie. Właściciel lub zarządca budynku, budowli, instalacji lub urządzenia oraz terenu, gdzie występują wyroby zawierające azbest, ma ponadto obowiązki:</w:t>
      </w:r>
    </w:p>
    <w:p>
      <w:pPr>
        <w:pStyle w:val="Normal"/>
        <w:numPr>
          <w:ilvl w:val="0"/>
          <w:numId w:val="8"/>
        </w:numPr>
        <w:spacing w:lineRule="auto" w:line="360" w:before="0" w:after="0"/>
        <w:jc w:val="both"/>
        <w:rPr>
          <w:rFonts w:ascii="Arial" w:hAnsi="Arial" w:cs="Arial"/>
        </w:rPr>
      </w:pPr>
      <w:r>
        <w:rPr>
          <w:rFonts w:cs="Arial" w:ascii="Arial" w:hAnsi="Arial"/>
        </w:rPr>
        <w:t>oznakowania pomieszczeń, gdzie znajdują się urządzenia lub instalacje z wyrobami zawierającymi azbest – odpowiednim znakiem ostrzegawczym dla azbestu (załącznik nr 4),</w:t>
      </w:r>
    </w:p>
    <w:p>
      <w:pPr>
        <w:pStyle w:val="Normal"/>
        <w:numPr>
          <w:ilvl w:val="0"/>
          <w:numId w:val="8"/>
        </w:numPr>
        <w:spacing w:lineRule="auto" w:line="360" w:before="0" w:after="0"/>
        <w:jc w:val="both"/>
        <w:rPr>
          <w:rFonts w:ascii="Arial" w:hAnsi="Arial" w:cs="Arial"/>
        </w:rPr>
      </w:pPr>
      <w:r>
        <w:rPr>
          <w:rFonts w:cs="Arial" w:ascii="Arial" w:hAnsi="Arial"/>
        </w:rPr>
        <w:t>opracowania i wywieszenia na widocznym miejscu instrukcji bezpiecznego postępowania i użytkowania pomieszczenia z wyrobami zawierającymi azbest,</w:t>
      </w:r>
    </w:p>
    <w:p>
      <w:pPr>
        <w:pStyle w:val="Normal"/>
        <w:numPr>
          <w:ilvl w:val="0"/>
          <w:numId w:val="8"/>
        </w:numPr>
        <w:spacing w:lineRule="auto" w:line="360" w:before="0" w:after="0"/>
        <w:jc w:val="both"/>
        <w:rPr>
          <w:rFonts w:ascii="Arial" w:hAnsi="Arial" w:cs="Arial"/>
        </w:rPr>
      </w:pPr>
      <w:r>
        <w:rPr>
          <w:rFonts w:cs="Arial" w:ascii="Arial" w:hAnsi="Arial"/>
        </w:rPr>
        <w:t>zaznaczenia na planie sytuacyjnym terenu miejsc z wyrobami zawierającymi azbest.</w:t>
      </w:r>
    </w:p>
    <w:p>
      <w:pPr>
        <w:pStyle w:val="Normal"/>
        <w:spacing w:lineRule="auto" w:line="360"/>
        <w:ind w:firstLine="709"/>
        <w:jc w:val="both"/>
        <w:rPr>
          <w:rFonts w:ascii="Arial" w:hAnsi="Arial" w:cs="Arial"/>
        </w:rPr>
      </w:pPr>
      <w:r>
        <w:rPr>
          <w:rFonts w:cs="Arial" w:ascii="Arial" w:hAnsi="Arial"/>
        </w:rPr>
        <w:t>Ponadto jeżeli w budynku, budowli, instalacji lub urządzeniu oraz na terenie znajdują się wyroby zawierające azbest o gęstości objętościowej mniejszej niż 1000 kg/m</w:t>
      </w:r>
      <w:r>
        <w:rPr>
          <w:rFonts w:cs="Arial" w:ascii="Arial" w:hAnsi="Arial"/>
          <w:vertAlign w:val="superscript"/>
        </w:rPr>
        <w:t>3</w:t>
      </w:r>
      <w:r>
        <w:rPr>
          <w:rFonts w:cs="Arial" w:ascii="Arial" w:hAnsi="Arial"/>
        </w:rPr>
        <w:t xml:space="preserve"> (tzw. „miękkie”), lub jeżeli wyroby zawierają azbest krokidolit, a także jeżeli te wyroby znajdują się w zamkniętych pomieszczeniach lub istnieje uzasadniona obawa dużej emisji azbestu do środowiska – właściciel lub zarządca powinien opracować plan kontroli jakości powietrza (monitoringu), a jego wyniki uwzględnić przy dalszej eksploatacji lub usuwaniu wyrobów zawierających azbest.</w:t>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b/>
          <w:b/>
          <w:i/>
          <w:i/>
        </w:rPr>
      </w:pPr>
      <w:r>
        <w:rPr>
          <w:rFonts w:cs="Arial" w:ascii="Arial" w:hAnsi="Arial"/>
          <w:b/>
          <w:i/>
          <w:u w:val="single"/>
        </w:rPr>
        <w:t>P R O C E D U R A 2</w:t>
      </w:r>
      <w:r>
        <w:rPr>
          <w:rFonts w:cs="Arial" w:ascii="Arial" w:hAnsi="Arial"/>
          <w:b/>
          <w:i/>
        </w:rPr>
        <w:t>:</w:t>
      </w:r>
    </w:p>
    <w:p>
      <w:pPr>
        <w:pStyle w:val="Normal"/>
        <w:spacing w:lineRule="auto" w:line="360"/>
        <w:ind w:firstLine="708"/>
        <w:jc w:val="both"/>
        <w:rPr>
          <w:rFonts w:ascii="Arial" w:hAnsi="Arial" w:cs="Arial"/>
        </w:rPr>
      </w:pPr>
      <w:r>
        <w:rPr>
          <w:rFonts w:cs="Arial" w:ascii="Arial" w:hAnsi="Arial"/>
        </w:rPr>
        <w:t xml:space="preserve">Zakres obowiązków obejmuje okres od podjęcia decyzji o zabezpieczeniu lub usuwaniu wyrobów zawierających azbest, do zakończenia tych robót i uzyskania stosownego oświadczenia wykonawcy prac. Obowiązki i postępowanie właścicieli i zarządców, przy usuwaniu wyrobów zawierających azbest z obiektów lub terenów przedstawiono na poniższym schemacie. </w:t>
      </w:r>
    </w:p>
    <w:p>
      <w:pPr>
        <w:pStyle w:val="Normal"/>
        <w:spacing w:lineRule="auto" w:line="360"/>
        <w:jc w:val="center"/>
        <w:rPr>
          <w:rFonts w:ascii="Arial" w:hAnsi="Arial" w:cs="Arial"/>
          <w:i/>
          <w:i/>
        </w:rPr>
      </w:pPr>
      <w:r>
        <w:rPr/>
        <w:drawing>
          <wp:inline distT="0" distB="0" distL="0" distR="0" wp14:anchorId="54BFD665">
            <wp:extent cx="5937250" cy="3159760"/>
            <wp:effectExtent l="0" t="38100" r="0" b="119380"/>
            <wp:docPr id="7" name="Diagram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pPr>
        <w:pStyle w:val="Normal"/>
        <w:spacing w:lineRule="auto" w:line="360"/>
        <w:ind w:firstLine="709"/>
        <w:jc w:val="both"/>
        <w:rPr>
          <w:rFonts w:ascii="Arial" w:hAnsi="Arial" w:cs="Arial"/>
        </w:rPr>
      </w:pPr>
      <w:r>
        <w:rPr>
          <w:rFonts w:cs="Arial" w:ascii="Arial" w:hAnsi="Arial"/>
        </w:rPr>
        <w:t>Identyfikacja azbestu powinna nastąpić w okresie użytkowania wyrobów, jeszcze przed rozpoczęciem wykonywania prac zabezpieczenia lub usuwania takich wyrobów, o ile informacja ta nie jest podana w innych dokumentach budowy przedmiotowego obiektu. Identyfikacja azbestu jest obowiązkiem właściciela lub zarządcy, wynikającym z tytułu własności oraz odpowiedzialności prawnej, dotyczącej ochrony osób trzecich od szkód mogących wynikać z nieodpowiedniej eksploatacji przedmiotu stanowiącego własność. Wyniki identyfikacji azbestu powinny być uwzględniane przy:</w:t>
      </w:r>
    </w:p>
    <w:p>
      <w:pPr>
        <w:pStyle w:val="Normal"/>
        <w:numPr>
          <w:ilvl w:val="0"/>
          <w:numId w:val="9"/>
        </w:numPr>
        <w:spacing w:lineRule="auto" w:line="360" w:before="0" w:after="0"/>
        <w:jc w:val="both"/>
        <w:rPr>
          <w:rFonts w:ascii="Arial" w:hAnsi="Arial" w:cs="Arial"/>
        </w:rPr>
      </w:pPr>
      <w:r>
        <w:rPr>
          <w:rFonts w:cs="Arial" w:ascii="Arial" w:hAnsi="Arial"/>
        </w:rPr>
        <w:t>sporządzaniu „Oceny (...)”,</w:t>
      </w:r>
    </w:p>
    <w:p>
      <w:pPr>
        <w:pStyle w:val="Normal"/>
        <w:numPr>
          <w:ilvl w:val="0"/>
          <w:numId w:val="9"/>
        </w:numPr>
        <w:spacing w:lineRule="auto" w:line="360" w:before="0" w:after="0"/>
        <w:jc w:val="both"/>
        <w:rPr>
          <w:rFonts w:ascii="Arial" w:hAnsi="Arial" w:cs="Arial"/>
        </w:rPr>
      </w:pPr>
      <w:r>
        <w:rPr>
          <w:rFonts w:cs="Arial" w:ascii="Arial" w:hAnsi="Arial"/>
        </w:rPr>
        <w:t>sporządzaniu informacji dla wójta, burmistrza, prezydenta miasta,</w:t>
      </w:r>
    </w:p>
    <w:p>
      <w:pPr>
        <w:pStyle w:val="Normal"/>
        <w:numPr>
          <w:ilvl w:val="0"/>
          <w:numId w:val="9"/>
        </w:numPr>
        <w:spacing w:lineRule="auto" w:line="360" w:before="0" w:after="0"/>
        <w:jc w:val="both"/>
        <w:rPr>
          <w:rFonts w:ascii="Arial" w:hAnsi="Arial" w:cs="Arial"/>
        </w:rPr>
      </w:pPr>
      <w:r>
        <w:rPr>
          <w:rFonts w:cs="Arial" w:ascii="Arial" w:hAnsi="Arial"/>
        </w:rPr>
        <w:t>zawieraniu umowy na wykonanie prac zabezpieczania lub usuwania wyrobów zawierających azbest z wykonawcą tych prac – wytwarzającym odpady niebezpieczne.</w:t>
      </w:r>
    </w:p>
    <w:p>
      <w:pPr>
        <w:pStyle w:val="Normal"/>
        <w:spacing w:lineRule="auto" w:line="360"/>
        <w:ind w:firstLine="709"/>
        <w:jc w:val="both"/>
        <w:rPr>
          <w:rFonts w:ascii="Arial" w:hAnsi="Arial" w:cs="Arial"/>
        </w:rPr>
      </w:pPr>
      <w:r>
        <w:rPr>
          <w:rFonts w:cs="Arial" w:ascii="Arial" w:hAnsi="Arial"/>
        </w:rPr>
        <w:t>Właściciel lub zarządca może zlecić innym – odpowiednio przygotowanym osobom lub podmiotom prawnym – przeprowadzenie czynności wykonania identyfikacji azbestu w wyrobach. W każdym przypadku powinno to mieć miejsce przed rozpoczęciem prac zabezpieczenia lub usuwania wyrobów zawierających azbest.</w:t>
      </w:r>
    </w:p>
    <w:p>
      <w:pPr>
        <w:pStyle w:val="Normal"/>
        <w:spacing w:lineRule="auto" w:line="360" w:before="0" w:after="0"/>
        <w:ind w:firstLine="709"/>
        <w:jc w:val="both"/>
        <w:rPr>
          <w:rFonts w:ascii="Arial" w:hAnsi="Arial" w:cs="Arial"/>
        </w:rPr>
      </w:pPr>
      <w:r>
        <w:rPr>
          <w:rFonts w:cs="Arial" w:ascii="Arial" w:hAnsi="Arial"/>
        </w:rPr>
        <w:t xml:space="preserve">Właściciel lub zarządca budynku, budowli, instalacji lub urządzenia oraz terenu z wyrobami zawierającymi azbest, ma obowiązek zgłoszenia na 30 dni przed rozpoczęciem prac lub wniosku o pozwolenie na budowę (remont), wraz z określonymi warunkami. Wniosek powinien być sporządzony z uwzględnieniem przepisów wynikających z art. 30, ust. 5 ustawy – Prawo budowlane (załącznik nr 7). Zatajenie informacji o występowaniu azbestu  w wyrobach, które będą przedmiotem prac remontowo-budowlanych skutkuje – na podstawie ustawy Prawo ochrony środowiska – odpowiedzialnością prawną. Jeżeli w zakresie przedmiotowej realizacji zadania zostało uzyskane pozwolenie na budowę to w takim przypadku należy zastosować się do zapisu </w:t>
        <w:br/>
        <w:t xml:space="preserve">§ 6 ust.2 z </w:t>
      </w:r>
      <w:r>
        <w:rPr>
          <w:rFonts w:cs="Arial" w:ascii="Arial" w:hAnsi="Arial"/>
          <w:i/>
        </w:rPr>
        <w:t>Rozporządzenia Ministra Gospodarki, Pracy i Polityki Społecznej z dnia 2 kwietnia 2004 r. w sprawie sposobów i warunków bezpiecznego użytkowania i usuwania wyrobów zawierających azbest (Dz.U. nr 71, poz. 649, z późn. zm.)</w:t>
      </w:r>
      <w:r>
        <w:rPr>
          <w:rFonts w:cs="Arial" w:ascii="Arial" w:hAnsi="Arial"/>
        </w:rPr>
        <w:t xml:space="preserve"> według, którego wykonawca prac polegających na zabezpieczeniu lub usunięciu wyrobów zawierających azbest z miejsca, obiektu, urządzenia budowlanego lub instalacji przemysłowej, a także z terenu prac obowiązany jest do zgłoszenia zamiaru przeprowadzenia tych prac właściwemu organowi nadzoru budowlanego, właściwemu okręgowemu inspektorowi pracy oraz właściwemu państwowemu inspektorowi sanitarnemu, w terminie co najmniej 7 dni przed rozpoczęciem prac. </w:t>
      </w:r>
    </w:p>
    <w:p>
      <w:pPr>
        <w:pStyle w:val="Normal"/>
        <w:spacing w:lineRule="auto" w:line="360"/>
        <w:ind w:firstLine="709"/>
        <w:jc w:val="both"/>
        <w:rPr>
          <w:rFonts w:ascii="Arial" w:hAnsi="Arial" w:cs="Arial"/>
        </w:rPr>
      </w:pPr>
      <w:r>
        <w:rPr>
          <w:rFonts w:cs="Arial" w:ascii="Arial" w:hAnsi="Arial"/>
        </w:rPr>
        <w:t>Po dopełnieniu obowiązków formalnoprawnych, właściciel lub zarządca dokonuje wyboru wykonawcy prac - wytwórcy odpadów niebezpiecznych. Zawiera umowę na wykonanie prac zabezpieczenia lub usuwania wyrobów zawierających azbest oraz oczyszczenia budynku, budowli, instalacji lub urządzenia oraz terenu z azbestu. W umowie powinny być jasno sprecyzowane obowiązki stron, również w zakresie zabezpieczenia przed emisją azbestu w czasie wykonywania prac. Niezależnie od obowiązków wykonawcy prac, właściciel lub zarządca powinien poinformować mieszkańców lub użytkowników budynku, budowli, instalacji lub urządzenia oraz terenu, o usuwaniu niebezpiecznych materiałów zawierających substancje stwarzające szczególne zagrożenie dla ludzi oraz o sposobach zabezpieczenia przed tą szkodliwością. Na końcu właściciel lub zarządca powinien uzyskać od wykonawcy prac, pisemne oświadczenie o prawidłowości wykonania robót i oczyszczenia z azbestu, a następnie przechowywać je przez okres co najmniej 5-lat, wraz z inną dokumentacją budynku, budowli, instalacji lub urządzenia oraz terenu.</w:t>
      </w:r>
    </w:p>
    <w:p>
      <w:pPr>
        <w:pStyle w:val="Nagwek2"/>
        <w:jc w:val="both"/>
        <w:rPr/>
      </w:pPr>
      <w:bookmarkStart w:id="47" w:name="_Toc332200564"/>
      <w:bookmarkStart w:id="48" w:name="_Toc335395344"/>
      <w:bookmarkStart w:id="49" w:name="_Toc20296869"/>
      <w:r>
        <w:rPr>
          <w:bCs w:val="false"/>
          <w:iCs w:val="false"/>
        </w:rPr>
        <w:t>3.</w:t>
      </w:r>
      <w:r>
        <w:rPr/>
        <w:t>5. Obowiązki wykonawcy prac, polegających na usuwaniu wyrobów zawierających azbest</w:t>
      </w:r>
      <w:bookmarkEnd w:id="47"/>
      <w:bookmarkEnd w:id="48"/>
      <w:bookmarkEnd w:id="49"/>
    </w:p>
    <w:p>
      <w:pPr>
        <w:pStyle w:val="Normal"/>
        <w:rPr/>
      </w:pPr>
      <w:r>
        <w:rPr/>
      </w:r>
    </w:p>
    <w:p>
      <w:pPr>
        <w:pStyle w:val="Normal"/>
        <w:spacing w:lineRule="auto" w:line="360"/>
        <w:ind w:firstLine="360"/>
        <w:jc w:val="both"/>
        <w:rPr>
          <w:rFonts w:ascii="Arial" w:hAnsi="Arial" w:cs="Arial"/>
          <w:b/>
          <w:b/>
          <w:sz w:val="24"/>
          <w:szCs w:val="24"/>
        </w:rPr>
      </w:pPr>
      <w:r>
        <w:rPr>
          <w:rFonts w:cs="Arial" w:ascii="Arial" w:hAnsi="Arial"/>
          <w:b/>
        </w:rPr>
        <w:t xml:space="preserve">Procedura 3. </w:t>
      </w:r>
      <w:r>
        <w:rPr>
          <w:rFonts w:cs="Arial" w:ascii="Arial" w:hAnsi="Arial"/>
        </w:rPr>
        <w:t>Postępowanie przy pracach przygotowawczych do usuwania wyrobów zawierających azbest.</w:t>
      </w:r>
    </w:p>
    <w:p>
      <w:pPr>
        <w:pStyle w:val="Normal"/>
        <w:spacing w:lineRule="auto" w:line="360"/>
        <w:ind w:firstLine="360"/>
        <w:jc w:val="both"/>
        <w:rPr>
          <w:rFonts w:ascii="Arial" w:hAnsi="Arial" w:cs="Arial"/>
        </w:rPr>
      </w:pPr>
      <w:r>
        <w:rPr>
          <w:rFonts w:cs="Arial" w:ascii="Arial" w:hAnsi="Arial"/>
          <w:b/>
        </w:rPr>
        <w:t xml:space="preserve">Procedura 4. </w:t>
      </w:r>
      <w:r>
        <w:rPr>
          <w:rFonts w:cs="Arial" w:ascii="Arial" w:hAnsi="Arial"/>
        </w:rPr>
        <w:t xml:space="preserve">Prace polegające na usuwaniu wyrobów zawierających azbest,                                wytwarzaniu odpadów niebezpiecznych wraz z oczyszczaniem obiektu (terenu) instalacji azbestu.  </w:t>
      </w:r>
    </w:p>
    <w:p>
      <w:pPr>
        <w:pStyle w:val="Normal"/>
        <w:spacing w:lineRule="auto" w:line="360"/>
        <w:jc w:val="both"/>
        <w:rPr>
          <w:rFonts w:ascii="Arial" w:hAnsi="Arial" w:cs="Arial"/>
        </w:rPr>
      </w:pPr>
      <w:r>
        <w:rPr>
          <w:rFonts w:cs="Arial" w:ascii="Arial" w:hAnsi="Arial"/>
        </w:rPr>
        <w:tab/>
        <w:t>Zakres obowiązków obejmuje całokształt prac oraz postępowania dotyczącego przygotowania do zabezpieczenia lub usuwania wyrobów zawierających azbest.</w:t>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r>
    </w:p>
    <w:p>
      <w:pPr>
        <w:pStyle w:val="Normal"/>
        <w:spacing w:lineRule="auto" w:line="360"/>
        <w:rPr>
          <w:rFonts w:ascii="Arial" w:hAnsi="Arial" w:cs="Arial"/>
        </w:rPr>
      </w:pPr>
      <w:r>
        <w:rPr>
          <w:rFonts w:cs="Arial" w:ascii="Arial" w:hAnsi="Arial"/>
          <w:b/>
          <w:i/>
          <w:u w:val="single"/>
        </w:rPr>
        <w:t>P R O C E D U R A 3</w:t>
      </w:r>
      <w:r>
        <w:rPr>
          <w:rFonts w:cs="Arial" w:ascii="Arial" w:hAnsi="Arial"/>
        </w:rPr>
        <w:t>. Postępowanie przy pracach przygotowawczych do usuwania wyrobów zawierających azbest.</w:t>
      </w:r>
    </w:p>
    <w:p>
      <w:pPr>
        <w:pStyle w:val="Normal"/>
        <w:rPr>
          <w:rFonts w:ascii="Arial" w:hAnsi="Arial" w:cs="Arial"/>
        </w:rPr>
      </w:pPr>
      <w:r>
        <w:rPr/>
        <w:drawing>
          <wp:inline distT="0" distB="0" distL="0" distR="0" wp14:anchorId="72FD11CE">
            <wp:extent cx="6365240" cy="7527290"/>
            <wp:effectExtent l="57150" t="38100" r="76200" b="76200"/>
            <wp:docPr id="8" name="Diagram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pPr>
        <w:pStyle w:val="Normal"/>
        <w:spacing w:lineRule="auto" w:line="360" w:before="0" w:after="0"/>
        <w:ind w:firstLine="709"/>
        <w:jc w:val="both"/>
        <w:rPr>
          <w:rFonts w:ascii="Arial" w:hAnsi="Arial" w:cs="Arial"/>
          <w:color w:val="000000"/>
        </w:rPr>
      </w:pPr>
      <w:r>
        <w:rPr>
          <w:rFonts w:cs="Arial" w:ascii="Arial" w:hAnsi="Arial"/>
          <w:color w:val="000000"/>
        </w:rPr>
        <w:t xml:space="preserve">Firma budowlana zajmująca się usuwaniem wyrobów zawierających musi posiadać wpis do CEiDG lub do KRS, prowadzić ewidencję odpadów oraz sporządzać roczne sprawozdanie do marszałka województwa o wytwarzanych odpadach i sposobach gospodarowania nimi. Nie musi natomiast posiadać odrębnych decyzji z zakresu </w:t>
      </w:r>
      <w:r>
        <w:rPr>
          <w:rFonts w:cs="Arial" w:ascii="Arial" w:hAnsi="Arial"/>
          <w:i/>
          <w:color w:val="000000"/>
        </w:rPr>
        <w:t>Ustawy z dnia 14 grudnia 2012 r. o odpadach (tj. Dz.U. 2019 poz. 701, z późn. zm.)</w:t>
      </w:r>
      <w:r>
        <w:rPr>
          <w:rFonts w:cs="Arial" w:ascii="Arial" w:hAnsi="Arial"/>
          <w:color w:val="000000"/>
        </w:rPr>
        <w:t xml:space="preserve"> – dalej u.o. Decyzje zatwierdzające program gospodarki odpadami niebezpiecznymi, które posiadały firmy budowlane realizujące usługi związane z demontażem azbestu wydane na podstawie przepisów </w:t>
      </w:r>
      <w:r>
        <w:rPr>
          <w:rFonts w:cs="Arial" w:ascii="Arial" w:hAnsi="Arial"/>
          <w:i/>
          <w:color w:val="000000"/>
        </w:rPr>
        <w:t>Ustawy z dnia 27 kwietnia 2001 r. o odpadach (tj. Dz. U.  2010 Nr 185 poz. 1243, z późn. zm.)</w:t>
      </w:r>
      <w:r>
        <w:rPr>
          <w:rFonts w:cs="Arial" w:ascii="Arial" w:hAnsi="Arial"/>
          <w:color w:val="000000"/>
        </w:rPr>
        <w:t xml:space="preserve">, z dniem wejścia w życie nowej ustawy o odpadach wygasły, z zastrzeżeniem art. 232 ust. 2 u.o. Jednakże firma taka musi spełniać </w:t>
      </w:r>
      <w:r>
        <w:rPr>
          <w:rFonts w:cs="Arial" w:ascii="Arial" w:hAnsi="Arial"/>
          <w:i/>
          <w:color w:val="000000"/>
        </w:rPr>
        <w:t xml:space="preserve">wymogi Rozporządzenia Ministra Gospodarki, Pracy i Polityki Społecznej z dnia 2 kwietnia 2004 r. w sprawie sposobów i warunków bezpiecznego użytkowania i usuwania wyrobów zawierających azbest (Dz.U. 2004 nr 71 poz. 649, z późn. zm.) </w:t>
      </w:r>
      <w:r>
        <w:rPr>
          <w:rFonts w:cs="Arial" w:ascii="Arial" w:hAnsi="Arial"/>
          <w:color w:val="000000"/>
        </w:rPr>
        <w:t>- dalej r.u.u.w.a., tzn. posiadać sprzęt i odpowiednie urządzenia do usunięcia wyrobów zawierających azbest oraz pracownicy firmy muszą być przeszkoleni w zakresie bezpiecznego usuwania azbestu.</w:t>
      </w:r>
    </w:p>
    <w:p>
      <w:pPr>
        <w:pStyle w:val="Normal"/>
        <w:spacing w:lineRule="auto" w:line="360" w:before="0" w:after="0"/>
        <w:ind w:firstLine="709"/>
        <w:jc w:val="both"/>
        <w:rPr>
          <w:rFonts w:ascii="Arial" w:hAnsi="Arial" w:cs="Arial"/>
          <w:color w:val="000000"/>
        </w:rPr>
      </w:pPr>
      <w:r>
        <w:rPr>
          <w:rFonts w:cs="Arial" w:ascii="Arial" w:hAnsi="Arial"/>
          <w:color w:val="000000"/>
        </w:rPr>
        <w:t>Firma demontująca wyroby zawierające azbest nie musi uzyskiwać zezwolenia na zbieranie azbestu, jeśli magazynuje te odpady w miejscu ich wytworzenia, czyli na terenie nieruchomości, na której wykonuje usługę demontażu przedmiotowych wyrobów. W przypadku zbierania azbestu poza miejscem wytworzenia (czyli poza terenem nieruchomości, na której firma usuwa wyroby), firma demontująca azbest musiałaby uzyskać zezwolenie na zbieranie odpadów w trybie art. 43 ust. 1 u.o.</w:t>
      </w:r>
    </w:p>
    <w:p>
      <w:pPr>
        <w:pStyle w:val="Normal"/>
        <w:spacing w:lineRule="auto" w:line="360" w:before="0" w:after="0"/>
        <w:ind w:firstLine="709"/>
        <w:jc w:val="both"/>
        <w:rPr>
          <w:rFonts w:ascii="Arial" w:hAnsi="Arial" w:cs="Arial"/>
          <w:color w:val="000000"/>
        </w:rPr>
      </w:pPr>
      <w:r>
        <w:rPr>
          <w:rFonts w:cs="Arial" w:ascii="Arial" w:hAnsi="Arial"/>
          <w:color w:val="000000"/>
        </w:rPr>
        <w:t>Zleceniodawca zawsze może zażądać wykazania, od firmy budowlanej, że w poprzednich latach były przez nią wykonywane usługi usuwania wyrobów zawierających azbest.</w:t>
      </w:r>
    </w:p>
    <w:p>
      <w:pPr>
        <w:pStyle w:val="Normal"/>
        <w:spacing w:lineRule="auto" w:line="360"/>
        <w:ind w:firstLine="425"/>
        <w:jc w:val="both"/>
        <w:rPr>
          <w:rFonts w:ascii="Arial" w:hAnsi="Arial" w:cs="Arial"/>
        </w:rPr>
      </w:pPr>
      <w:r>
        <w:rPr>
          <w:rFonts w:cs="Arial" w:ascii="Arial" w:hAnsi="Arial"/>
        </w:rPr>
        <w:t xml:space="preserve">Mając na uwadze potencjalne niebezpieczeństwo jakie wiąże się z poszczególnymi etapami prac związanych z wyeliminowaniem i usunięciem stosowanych od wielu lat wyrobów zawierających azbest, przewidziano w krajowym prawie szereg przepisów poświęconych zasadom bezpiecznego postępowania z takimi wyrobami. Przywołując nadrzędny cel, którym jest oczyszczanie kraju z azbestu oraz wyrobów zawierających ten surowiec, w art. 4 ust. 2 </w:t>
      </w:r>
      <w:r>
        <w:rPr>
          <w:rFonts w:cs="Arial" w:ascii="Arial" w:hAnsi="Arial"/>
          <w:i/>
        </w:rPr>
        <w:t xml:space="preserve">Ustawy </w:t>
        <w:br/>
        <w:t>z dnia 19 czerwca 1997 r. o zakazie stosowania wyrobów zawierających azbest (tj.</w:t>
      </w:r>
      <w:r>
        <w:rPr/>
        <w:t xml:space="preserve"> </w:t>
      </w:r>
      <w:r>
        <w:rPr>
          <w:rFonts w:cs="Arial" w:ascii="Arial" w:hAnsi="Arial"/>
          <w:i/>
        </w:rPr>
        <w:t>Dz.U. 2017 poz. 2119)</w:t>
      </w:r>
      <w:r>
        <w:rPr>
          <w:rFonts w:cs="Arial" w:ascii="Arial" w:hAnsi="Arial"/>
        </w:rPr>
        <w:t xml:space="preserve"> ustawodawca przewidział upoważnienie dla ministra właściwego do spraw pracy, który w porozumieniu z ministrem właściwym do spraw zdrowia zobowiązany został do określenia:</w:t>
      </w:r>
    </w:p>
    <w:p>
      <w:pPr>
        <w:pStyle w:val="Normal"/>
        <w:numPr>
          <w:ilvl w:val="0"/>
          <w:numId w:val="58"/>
        </w:numPr>
        <w:spacing w:lineRule="auto" w:line="360"/>
        <w:rPr>
          <w:rFonts w:ascii="Arial" w:hAnsi="Arial" w:cs="Arial"/>
        </w:rPr>
      </w:pPr>
      <w:r>
        <w:rPr>
          <w:rFonts w:cs="Arial" w:ascii="Arial" w:hAnsi="Arial"/>
        </w:rPr>
        <w:t>zasad bezpieczeństwa i higieny pracy przy zabezpieczaniu i usuwaniu wyrobów zawierających azbest oraz</w:t>
      </w:r>
    </w:p>
    <w:p>
      <w:pPr>
        <w:pStyle w:val="Normal"/>
        <w:numPr>
          <w:ilvl w:val="0"/>
          <w:numId w:val="58"/>
        </w:numPr>
        <w:spacing w:lineRule="auto" w:line="360"/>
        <w:rPr>
          <w:rFonts w:ascii="Arial" w:hAnsi="Arial" w:cs="Arial"/>
        </w:rPr>
      </w:pPr>
      <w:r>
        <w:rPr>
          <w:rFonts w:cs="Arial" w:ascii="Arial" w:hAnsi="Arial"/>
        </w:rPr>
        <w:t>programu szkolenia w zakresie bezpiecznego użytkowania wyrobów zawierających azbest.</w:t>
      </w:r>
    </w:p>
    <w:p>
      <w:pPr>
        <w:pStyle w:val="Normal"/>
        <w:spacing w:lineRule="auto" w:line="360"/>
        <w:ind w:firstLine="425"/>
        <w:jc w:val="both"/>
        <w:rPr>
          <w:rFonts w:ascii="Arial" w:hAnsi="Arial" w:cs="Arial"/>
        </w:rPr>
      </w:pPr>
      <w:r>
        <w:rPr>
          <w:rFonts w:cs="Arial" w:ascii="Arial" w:hAnsi="Arial"/>
        </w:rPr>
        <w:t xml:space="preserve">Ustawodawca zobowiązał jednocześnie ministrów do uwzględnienia w akcie wykonawczym środków mających na celu eliminowanie lub ograniczanie emisji pyłów azbestu i ochrony pracowników przed ich działaniem, w tym także sposoby pakowania i znakowania materiałów zawierających azbest. W efekcie Minister Gospodarki i Pracy w dniu 14 października 2005 r. wydał </w:t>
      </w:r>
      <w:r>
        <w:rPr>
          <w:rFonts w:cs="Arial" w:ascii="Arial" w:hAnsi="Arial"/>
          <w:i/>
        </w:rPr>
        <w:t xml:space="preserve">Rozporządzenie w sprawie zasad bezpieczeństwa i higieny pracy przy zabezpieczaniu i usuwaniu wyrobów zawierających azbest oraz programu szkolenia w zakresie bezpiecznego użytkowania takich wyrobów (Dz.U. 2005 nr 216 poz. 1824) </w:t>
      </w:r>
      <w:r>
        <w:rPr>
          <w:rFonts w:cs="Arial" w:ascii="Arial" w:hAnsi="Arial"/>
        </w:rPr>
        <w:t>- dalej r.b.h.p.a. Przepisy r.b.h.p.a. wdrażają postanowienia dyrektywy 83/477/EWG z dnia 19 września 1983 r. w sprawie ochrony pracowników przed ryzykiem związanym z narażeniem na działanie azbestu w miejscu pracy.</w:t>
      </w:r>
    </w:p>
    <w:p>
      <w:pPr>
        <w:pStyle w:val="Normal"/>
        <w:spacing w:lineRule="auto" w:line="360"/>
        <w:ind w:firstLine="425"/>
        <w:jc w:val="both"/>
        <w:rPr>
          <w:rFonts w:ascii="Arial" w:hAnsi="Arial" w:cs="Arial"/>
        </w:rPr>
      </w:pPr>
      <w:r>
        <w:rPr>
          <w:rFonts w:cs="Arial" w:ascii="Arial" w:hAnsi="Arial"/>
        </w:rPr>
        <w:t>W związku z powyższym w r.b.h.p.a. zostały określone:</w:t>
      </w:r>
    </w:p>
    <w:p>
      <w:pPr>
        <w:pStyle w:val="Normal"/>
        <w:spacing w:lineRule="auto" w:line="360"/>
        <w:ind w:left="360" w:hanging="284"/>
        <w:jc w:val="both"/>
        <w:rPr>
          <w:rFonts w:ascii="Arial" w:hAnsi="Arial" w:cs="Arial"/>
        </w:rPr>
      </w:pPr>
      <w:r>
        <w:rPr>
          <w:rFonts w:cs="Arial" w:ascii="Arial" w:hAnsi="Arial"/>
        </w:rPr>
        <w:t>1) obowiązki dla pracodawcy zatrudniającego osoby pracujące przy zabezpieczaniu lub usuwaniu wyrobów albo innych materiałów zawierających azbest,</w:t>
      </w:r>
    </w:p>
    <w:p>
      <w:pPr>
        <w:pStyle w:val="Normal"/>
        <w:spacing w:lineRule="auto" w:line="360"/>
        <w:ind w:left="360" w:hanging="284"/>
        <w:jc w:val="both"/>
        <w:rPr>
          <w:rFonts w:ascii="Arial" w:hAnsi="Arial" w:cs="Arial"/>
        </w:rPr>
      </w:pPr>
      <w:r>
        <w:rPr>
          <w:rFonts w:cs="Arial" w:ascii="Arial" w:hAnsi="Arial"/>
        </w:rPr>
        <w:t>2) wymagania dla sprzętu stosowanego przy usuwaniu wyrobów zawierających azbest,</w:t>
      </w:r>
    </w:p>
    <w:p>
      <w:pPr>
        <w:pStyle w:val="Normal"/>
        <w:spacing w:lineRule="auto" w:line="360"/>
        <w:ind w:left="360" w:hanging="284"/>
        <w:jc w:val="both"/>
        <w:rPr>
          <w:rFonts w:ascii="Arial" w:hAnsi="Arial" w:cs="Arial"/>
        </w:rPr>
      </w:pPr>
      <w:r>
        <w:rPr>
          <w:rFonts w:cs="Arial" w:ascii="Arial" w:hAnsi="Arial"/>
        </w:rPr>
        <w:t>3) postępowanie z zanieczyszczonymi pyłem azbestowym środkami ochrony indywidualnej pracowników,</w:t>
      </w:r>
    </w:p>
    <w:p>
      <w:pPr>
        <w:pStyle w:val="Normal"/>
        <w:spacing w:lineRule="auto" w:line="360"/>
        <w:ind w:left="360" w:hanging="284"/>
        <w:jc w:val="both"/>
        <w:rPr>
          <w:rFonts w:ascii="Arial" w:hAnsi="Arial" w:cs="Arial"/>
        </w:rPr>
      </w:pPr>
      <w:r>
        <w:rPr>
          <w:rFonts w:cs="Arial" w:ascii="Arial" w:hAnsi="Arial"/>
        </w:rPr>
        <w:t>4) szczegółowe wymagania dla sporządzenia planu prac w zakresie usuwania azbestu,</w:t>
      </w:r>
    </w:p>
    <w:p>
      <w:pPr>
        <w:pStyle w:val="Normal"/>
        <w:spacing w:lineRule="auto" w:line="360"/>
        <w:ind w:left="360" w:hanging="284"/>
        <w:jc w:val="both"/>
        <w:rPr>
          <w:rFonts w:ascii="Arial" w:hAnsi="Arial" w:cs="Arial"/>
        </w:rPr>
      </w:pPr>
      <w:r>
        <w:rPr>
          <w:rFonts w:cs="Arial" w:ascii="Arial" w:hAnsi="Arial"/>
        </w:rPr>
        <w:t>5) obowiązkowe szkolenia w zakresie bezpieczeństwa i higieny pracy pracowników narażonych na działanie azbestu, osób kierujących takimi pracami oraz pracodawców.</w:t>
      </w:r>
    </w:p>
    <w:p>
      <w:pPr>
        <w:pStyle w:val="Normal"/>
        <w:spacing w:lineRule="auto" w:line="360"/>
        <w:ind w:firstLine="708"/>
        <w:jc w:val="both"/>
        <w:rPr>
          <w:rFonts w:ascii="Arial" w:hAnsi="Arial" w:cs="Arial"/>
        </w:rPr>
      </w:pPr>
      <w:r>
        <w:rPr>
          <w:rFonts w:cs="Arial" w:ascii="Arial" w:hAnsi="Arial"/>
        </w:rPr>
        <w:t>W zakresie r.b.h.p.a. Minister Gospodarki i Pracy ustanowił również, że przepisy dotyczące zasad bezpieczeństwa i higieny pracy przy zabezpieczaniu i usuwaniu wyrobów zawierających azbest znajdują zastosowanie także w tych przypadkach, w których istnieje uzasadnione podejrzenie występowania azbestu w przewidzianych do usunięcia materiałach lub konstrukcji budynku. Zważywszy, że wyroby zawierające azbest traktowane są jako odpady, w trakcie prowadzonych prac związanych z zabezpieczaniem wyrobów albo usuwaniem wyrobów lub innych materiałów zawierających azbest, należy ograniczać do minimum powstawanie odpadów, szczególnie drobnych i słabo związanych.</w:t>
      </w:r>
    </w:p>
    <w:p>
      <w:pPr>
        <w:pStyle w:val="Normal"/>
        <w:spacing w:lineRule="auto" w:line="360" w:before="0" w:after="0"/>
        <w:ind w:firstLine="709"/>
        <w:jc w:val="both"/>
        <w:rPr>
          <w:rFonts w:ascii="Arial" w:hAnsi="Arial" w:cs="Arial"/>
        </w:rPr>
      </w:pPr>
      <w:r>
        <w:rPr>
          <w:rFonts w:cs="Arial" w:ascii="Arial" w:hAnsi="Arial"/>
        </w:rPr>
        <w:t>Na pracodawcę zatrudniającego pracowników przy zabezpieczaniu lub usuwaniu wyrobów albo innych materiałów zawierających azbest nałożono szereg obowiązków, dotyczących zapewnienia należytej ochrony pracowników przed szkodliwym działaniem włókien azbestu i pyłu zawierającego azbest tzw. pyłu azbestu. Realizację tych obowiązków przewidziano poprzez zapewnienie przez pracodawcę niezbędnych środków ochrony, dobieranych na podstawie oceny ryzyka zawodowego, uwzględniającej rodzaj i stopień narażenia. Niemniej jednak, jeżeli zachodzi uzasadnione podejrzenie, że ocena ryzyka została dokonana niewłaściwie, lub gdy nastąpiła znacząca zmiana warunków pracy, wówczas pracodawca powinien ją zweryfikować (§ 1 ust. 1 i ust. 2 r.b.h.p.a.). Obowiązki pracodawcy wobec pracowników można podzielić na cztery podstawowe działania.</w:t>
      </w:r>
    </w:p>
    <w:p>
      <w:pPr>
        <w:pStyle w:val="Normal"/>
        <w:spacing w:lineRule="auto" w:line="360" w:before="0" w:after="0"/>
        <w:ind w:firstLine="709"/>
        <w:jc w:val="both"/>
        <w:rPr>
          <w:rFonts w:ascii="Arial" w:hAnsi="Arial" w:cs="Arial"/>
          <w:i/>
          <w:i/>
        </w:rPr>
      </w:pPr>
      <w:r>
        <w:rPr>
          <w:rFonts w:cs="Arial" w:ascii="Arial" w:hAnsi="Arial"/>
        </w:rPr>
        <w:t xml:space="preserve">Po pierwsze, pracodawca, zatrudniając pracowników przy zabezpieczaniu lub usuwaniu wyrobów albo innych materiałów zawierających azbest, jest obowiązany do podejmowania działań zmniejszających narażenie pracowników na działanie pyłu azbestu i ograniczać jego stężenie w powietrzu. W tym celu pracodawca powinien zapewnić kontrolę stopnia narażenia pracowników na działanie pyłu azbestu w sposób określony w przepisach dotyczących badań i pomiarów czynników szkodliwych dla zdrowia w środowisku pracy, czyli przy uwzględnieniu przepisów </w:t>
      </w:r>
      <w:r>
        <w:rPr>
          <w:rFonts w:cs="Arial" w:ascii="Arial" w:hAnsi="Arial"/>
          <w:i/>
        </w:rPr>
        <w:t>Rozporządzenie Ministra Zdrowia z dnia 2 lutego 2011 r. w sprawie badań i pomiarów czynników szkodliwych dla zdrowia w środowisku pracy (Dz.U. 2011 nr 33 poz. 166).</w:t>
      </w:r>
      <w:r>
        <w:rPr>
          <w:rFonts w:cs="Arial" w:ascii="Arial" w:hAnsi="Arial"/>
        </w:rPr>
        <w:t xml:space="preserve"> Należy pamiętać, że pomiary, o których mowa powyżej, mogą wykonywać wyłącznie laboratoria akredytowane na podstawie przepisów </w:t>
      </w:r>
      <w:r>
        <w:rPr>
          <w:rFonts w:cs="Arial" w:ascii="Arial" w:hAnsi="Arial"/>
          <w:i/>
        </w:rPr>
        <w:t>Ustawy z dnia 30 sierpnia 2002 r. o systemie oceny zgodności (t.j</w:t>
      </w:r>
      <w:r>
        <w:rPr/>
        <w:t xml:space="preserve"> </w:t>
      </w:r>
      <w:r>
        <w:rPr>
          <w:rFonts w:cs="Arial" w:ascii="Arial" w:hAnsi="Arial"/>
          <w:i/>
        </w:rPr>
        <w:t>Dz.U. 2019 poz. 155).</w:t>
      </w:r>
    </w:p>
    <w:p>
      <w:pPr>
        <w:pStyle w:val="Normal"/>
        <w:spacing w:lineRule="auto" w:line="360" w:before="0" w:after="0"/>
        <w:ind w:firstLine="709"/>
        <w:jc w:val="both"/>
        <w:rPr>
          <w:rFonts w:ascii="Arial" w:hAnsi="Arial" w:cs="Arial"/>
        </w:rPr>
      </w:pPr>
      <w:r>
        <w:rPr>
          <w:rFonts w:cs="Arial" w:ascii="Arial" w:hAnsi="Arial"/>
        </w:rPr>
        <w:t>Jeżeli w miejscu prowadzonych prac związanych z usuwaniem azbestu następuje przekroczenie wartości najwyższego dopuszczalnego stężenia pyłu azbestu, o których mowa powyżej, pracodawca jest obowiązany wstrzymać wykonywanie pracy przez pracowników oraz niezwłocznie podjąć działania w celu obniżenia stężenia pyłu azbestu do wartości dopuszczalnej (§ 7 r.b.h.p.a.). Ponowne podjęcie pracy jest dopuszczalne po przeprowadzeniu odpowiednich pomiarów zawartości stężenia pyłu i stwierdzeniu, że stężenie pyłu azbestu w środowisku pracy nie przekracza dopuszczalnej wartości. Jeżeli, mimo podjętych działań, nie jest możliwe obniżenie stężenia pyłu azbestu do wartości dopuszczalnej, wówczas podjęcie pracy jest możliwe pod warunkiem zastosowania środków ochrony układu oddechowego zapewniających nieprzekraczanie dopuszczalnego narażenia pracowników na działanie pyłu azbestu.</w:t>
      </w:r>
    </w:p>
    <w:p>
      <w:pPr>
        <w:pStyle w:val="Normal"/>
        <w:spacing w:lineRule="auto" w:line="360" w:before="0" w:after="0"/>
        <w:ind w:firstLine="709"/>
        <w:jc w:val="both"/>
        <w:rPr>
          <w:rFonts w:ascii="Arial" w:hAnsi="Arial" w:cs="Arial"/>
        </w:rPr>
      </w:pPr>
      <w:r>
        <w:rPr>
          <w:rFonts w:cs="Arial" w:ascii="Arial" w:hAnsi="Arial"/>
        </w:rPr>
        <w:t>W § 7 ust. 4 r.b.h.p.a. przewidziano jednak, że stosowanie środków ochrony układu oddechowego nie może być stałe i powinno być ograniczone do minimum. Co więcej, środki te mogą być stosowane jedynie jako rozwiązanie uzupełniające lub awaryjne oraz nie mogą zastępować technicznych środków ograniczających narażenie pracowników na działanie pyłu azbestu. Ponadto, w myśl § 12 r.b.h.p.a., środki ochrony układu oddechowego jednorazowego użytku pracodawca jest obowiązany wymieniać po każdej zmianie roboczej lub, gdy opory oddychania odczuwalnie wzrosną. Przepisy r.b.h.p.a. wprowadzają jednocześnie zakaz zdejmowania środków ochrony układu oddechowego w strefie zanieczyszczonej pyłem azbestu, a wszelkich zmian elementów filtrujących należy dokonywać po wyjściu z tej strefy.</w:t>
      </w:r>
    </w:p>
    <w:p>
      <w:pPr>
        <w:pStyle w:val="Normal"/>
        <w:spacing w:lineRule="auto" w:line="360"/>
        <w:ind w:firstLine="708"/>
        <w:jc w:val="both"/>
        <w:rPr>
          <w:rFonts w:ascii="Arial" w:hAnsi="Arial" w:cs="Arial"/>
        </w:rPr>
      </w:pPr>
      <w:r>
        <w:rPr>
          <w:rFonts w:cs="Arial" w:ascii="Arial" w:hAnsi="Arial"/>
        </w:rPr>
        <w:t>Po drugie (§ 5 ust. 2 r.b.h.p.a.), pracodawca jest obowiązany zapewnić, aby przy pracach stwarzających narażenie na działanie pyłu azbestu:</w:t>
      </w:r>
    </w:p>
    <w:p>
      <w:pPr>
        <w:pStyle w:val="ListParagraph"/>
        <w:numPr>
          <w:ilvl w:val="0"/>
          <w:numId w:val="59"/>
        </w:numPr>
        <w:spacing w:lineRule="auto" w:line="360"/>
        <w:ind w:left="1026" w:hanging="600"/>
        <w:jc w:val="both"/>
        <w:rPr>
          <w:rFonts w:ascii="Arial" w:hAnsi="Arial" w:cs="Arial"/>
        </w:rPr>
      </w:pPr>
      <w:r>
        <w:rPr>
          <w:rFonts w:cs="Arial" w:ascii="Arial" w:hAnsi="Arial"/>
        </w:rPr>
        <w:t>liczba osób przydzielonych do prac oraz czas trwania narażenia były ograniczone do niezbędnego minimum,</w:t>
      </w:r>
    </w:p>
    <w:p>
      <w:pPr>
        <w:pStyle w:val="ListParagraph"/>
        <w:numPr>
          <w:ilvl w:val="0"/>
          <w:numId w:val="59"/>
        </w:numPr>
        <w:spacing w:lineRule="auto" w:line="360"/>
        <w:ind w:left="1026" w:hanging="600"/>
        <w:jc w:val="both"/>
        <w:rPr>
          <w:rFonts w:ascii="Arial" w:hAnsi="Arial" w:cs="Arial"/>
        </w:rPr>
      </w:pPr>
      <w:r>
        <w:rPr>
          <w:rFonts w:cs="Arial" w:ascii="Arial" w:hAnsi="Arial"/>
        </w:rPr>
        <w:t>maszyny, sprzęt i metody pracy stosowane przy wykonywaniu prac eliminowały lub ograniczały do minimum powstawanie pyłu azbestu, a szczególnie jego emisję do środowiska pracy lub środowiska naturalnego,</w:t>
      </w:r>
    </w:p>
    <w:p>
      <w:pPr>
        <w:pStyle w:val="ListParagraph"/>
        <w:numPr>
          <w:ilvl w:val="0"/>
          <w:numId w:val="59"/>
        </w:numPr>
        <w:spacing w:lineRule="auto" w:line="360" w:before="0" w:after="0"/>
        <w:ind w:left="1026" w:hanging="600"/>
        <w:contextualSpacing/>
        <w:jc w:val="both"/>
        <w:rPr>
          <w:rFonts w:ascii="Arial" w:hAnsi="Arial" w:cs="Arial"/>
        </w:rPr>
      </w:pPr>
      <w:r>
        <w:rPr>
          <w:rFonts w:cs="Arial" w:ascii="Arial" w:hAnsi="Arial"/>
        </w:rPr>
        <w:t>stosowane były odpowiednie do rodzaju i poziomu narażenia odzież i obuwie robocze oraz środki ochrony indywidualnej, w tym odzież ochronna i środki ochrony układu oddechowego.</w:t>
      </w:r>
    </w:p>
    <w:p>
      <w:pPr>
        <w:pStyle w:val="Normal"/>
        <w:spacing w:lineRule="auto" w:line="360" w:before="0" w:after="0"/>
        <w:ind w:firstLine="425"/>
        <w:jc w:val="both"/>
        <w:rPr>
          <w:rFonts w:ascii="Arial" w:hAnsi="Arial" w:cs="Arial"/>
        </w:rPr>
      </w:pPr>
      <w:r>
        <w:rPr>
          <w:rFonts w:cs="Arial" w:ascii="Arial" w:hAnsi="Arial"/>
        </w:rPr>
        <w:t>O stosowaniu odpowiednich środków ochrony indywidualnej pracowników w sposób szczegółowy stanowi także § 11 r.b.h.p.a., zgodnie z którym pracodawca jest obowiązany dostarczać pracownikom narażonym na działanie pyłu azbestu odzież i obuwie robocze oraz środki ochrony indywidualnej właściwe do poziomu narażenia oraz zapobiegające odpowiednio stykaniu się ciała z pyłami azbestu i ich wdychaniu. Odzież taka powinna być wykonana z materiału uniemożliwiającego przenikanie pyłu azbestu oraz umożliwiającego łatwe czyszczenie, co więcej rękawy w nadgarstkach i nogawki spodni w kostkach powinny szczelnie przylegać do ciała. Tematykę środków ochrony indywidualnej w zakresie zasadniczych wymagań, jakie muszą zostać spełnione oraz sposobów oznakowania tych środków określa rozporządzenie Ministra Gospodarki i Pracy z dnia 21 grudnia 2005 r. w sprawie zasadniczych wymagań dla środków ochrony indywidualnej.</w:t>
      </w:r>
    </w:p>
    <w:p>
      <w:pPr>
        <w:pStyle w:val="Normal"/>
        <w:spacing w:lineRule="auto" w:line="360" w:before="0" w:after="0"/>
        <w:ind w:firstLine="708"/>
        <w:jc w:val="both"/>
        <w:rPr>
          <w:rFonts w:ascii="Arial" w:hAnsi="Arial" w:cs="Arial"/>
        </w:rPr>
      </w:pPr>
      <w:r>
        <w:rPr>
          <w:rFonts w:cs="Arial" w:ascii="Arial" w:hAnsi="Arial"/>
        </w:rPr>
        <w:t>Po trzecie (§ 6 r.b.h.p.a.), kiedy prace prowadzone są w warunkach wymagających stosowania środków ochrony układu oddechowego, pracodawca ma obowiązek, po przeprowadzeniu konsultacji z pracownikami lub ich przedstawicielami, zapewnienia pracownikom wykonującym takie prace odpowiednie do istniejących warunków środowiska pracy przerwy na odpoczynek w miejscach, w których nie występuje narażenie na działanie pyłu azbestu. W tym wypadku chodzi przede wszystkim o zapewnienie najlepszej efektywności pracy pracowników oraz wyeliminowanie ewentualnej możliwości narażenia ich na bezpośrednie niebezpieczeństwo związane z wykonywanymi pracami.</w:t>
      </w:r>
    </w:p>
    <w:p>
      <w:pPr>
        <w:pStyle w:val="Normal"/>
        <w:spacing w:lineRule="auto" w:line="360"/>
        <w:ind w:firstLine="708"/>
        <w:jc w:val="both"/>
        <w:rPr>
          <w:rFonts w:ascii="Arial" w:hAnsi="Arial" w:cs="Arial"/>
        </w:rPr>
      </w:pPr>
      <w:r>
        <w:rPr>
          <w:rFonts w:cs="Arial" w:ascii="Arial" w:hAnsi="Arial"/>
        </w:rPr>
        <w:t>Po czwarte (§ 10 r.b.h.p.a.), pracodawca został zobowiązany do organizowania stanowisk pracy, na których występuje narażenie na pył azbestu, w taki sposób, aby wysiłek fizyczny pracownika był ograniczony do minimum oraz, aby pracownik nie był narażony na działanie innych czynników rakotwórczych. Do charakteru organizacyjnego stanowiska pracy Minister Gospodarki i Pracy odniósł się także w § 13 r.b.h.p.a., który przede wszystkim powinien być przestrzegany przez pracowników, stanowiąc, że w miejscach wykonywania prac, w których występuje narażenie na działanie pyłu azbestu, zakazuje się spożywania posiłków, picia napojów, palenia tytoniu, przechowywania rzeczy osobistych oraz przebywania bez uzasadnionej potrzeby. Należy jednak pamiętać, że za prawidłową organizację stanowiska pracy odpowiada pracodawca.</w:t>
      </w:r>
    </w:p>
    <w:p>
      <w:pPr>
        <w:pStyle w:val="Normal"/>
        <w:spacing w:lineRule="auto" w:line="360" w:before="0" w:after="0"/>
        <w:ind w:firstLine="709"/>
        <w:jc w:val="both"/>
        <w:rPr>
          <w:rFonts w:ascii="Arial" w:hAnsi="Arial" w:cs="Arial"/>
          <w:color w:val="000000"/>
        </w:rPr>
      </w:pPr>
      <w:r>
        <w:rPr>
          <w:rFonts w:cs="Arial" w:ascii="Arial" w:hAnsi="Arial"/>
          <w:color w:val="000000"/>
        </w:rPr>
        <w:t xml:space="preserve">Równocześnie wypada zwrócić uwagę, że zgodnie art. 160 ust. 1 i 2 </w:t>
      </w:r>
      <w:r>
        <w:rPr>
          <w:rFonts w:cs="Arial" w:ascii="Arial" w:hAnsi="Arial"/>
          <w:i/>
          <w:color w:val="000000"/>
        </w:rPr>
        <w:t xml:space="preserve">Ustawy z dnia 27 kwietnia 2001 r. Prawo ochrony środowiska  (tj. Dz.U. 2019 poz. 1396, z późn. zm.) </w:t>
      </w:r>
      <w:r>
        <w:rPr>
          <w:rFonts w:cs="Arial" w:ascii="Arial" w:hAnsi="Arial"/>
          <w:color w:val="000000"/>
        </w:rPr>
        <w:t xml:space="preserve">zabronione jest, z wyjątkiem przypadków określonych w ustawie i przepisach odrębnych, wprowadzanie do obrotu lub ponowne wykorzystanie substancji stwarzających szczególne zagrożenie dla środowiska. Do substancji tych należy zaliczyć między innymi azbest. Z kolei jak wskazano w art. 344 </w:t>
      </w:r>
      <w:r>
        <w:rPr>
          <w:rFonts w:cs="Arial" w:ascii="Arial" w:hAnsi="Arial"/>
          <w:i/>
          <w:color w:val="000000"/>
        </w:rPr>
        <w:t>Ustawa z dnia 27 kwietnia 2001 r. Prawo ochrony środowiska (tj. Dz.U. 2019 poz. 1396, z późn. zm.)</w:t>
      </w:r>
      <w:r>
        <w:rPr>
          <w:rFonts w:cs="Arial" w:ascii="Arial" w:hAnsi="Arial"/>
          <w:color w:val="000000"/>
        </w:rPr>
        <w:t xml:space="preserve">, kto narusza ów zakaz podlega karze aresztu albo ograniczenia wolności, albo grzywny. W przypadku podejrzenia popełnienia przestępstwa lub wykroczenia organami właściwymi do podjęcia działań są policja i straż miejska. </w:t>
      </w:r>
    </w:p>
    <w:p>
      <w:pPr>
        <w:pStyle w:val="Normal"/>
        <w:spacing w:lineRule="auto" w:line="360" w:before="0" w:after="0"/>
        <w:ind w:firstLine="708"/>
        <w:jc w:val="both"/>
        <w:rPr>
          <w:rFonts w:ascii="Arial" w:hAnsi="Arial" w:cs="Arial"/>
        </w:rPr>
      </w:pPr>
      <w:r>
        <w:rPr>
          <w:rFonts w:cs="Arial" w:ascii="Arial" w:hAnsi="Arial"/>
          <w:color w:val="000000"/>
        </w:rPr>
        <w:t xml:space="preserve">Ostatecznie należy także stwierdzić, iż w przypadku wyrządzenia szkody wykonawca może zostać pociągnięty do odpowiedzialności cywilnej na podstawie przepisów </w:t>
      </w:r>
      <w:hyperlink r:id="rId33">
        <w:r>
          <w:rPr>
            <w:rStyle w:val="Czeinternetowe"/>
            <w:rFonts w:cs="Arial" w:ascii="Arial" w:hAnsi="Arial"/>
            <w:color w:val="000000"/>
            <w:u w:val="none"/>
          </w:rPr>
          <w:t xml:space="preserve"> tytułu VI</w:t>
        </w:r>
      </w:hyperlink>
      <w:r>
        <w:rPr>
          <w:rFonts w:cs="Arial" w:ascii="Arial" w:hAnsi="Arial"/>
          <w:color w:val="000000"/>
        </w:rPr>
        <w:t xml:space="preserve"> działu I </w:t>
      </w:r>
      <w:r>
        <w:rPr>
          <w:rFonts w:cs="Arial" w:ascii="Arial" w:hAnsi="Arial"/>
          <w:i/>
          <w:color w:val="000000"/>
        </w:rPr>
        <w:t xml:space="preserve">Ustawy z dnia 27 kwietnia 2001 r. Prawo ochrony środowiska (tj. Dz.U. 2019 poz. 1396, z późn. zm.) </w:t>
      </w:r>
      <w:r>
        <w:rPr>
          <w:rFonts w:cs="Arial" w:ascii="Arial" w:hAnsi="Arial"/>
          <w:color w:val="000000"/>
        </w:rPr>
        <w:t xml:space="preserve">lub </w:t>
      </w:r>
      <w:r>
        <w:rPr>
          <w:rFonts w:cs="Arial" w:ascii="Arial" w:hAnsi="Arial"/>
          <w:i/>
          <w:color w:val="000000"/>
        </w:rPr>
        <w:t>Ustawy z dnia 23 kwietnia 1964 r. - Kodeks cywilny (tj. Dz.U. 2019 poz. 1145)</w:t>
      </w:r>
      <w:r>
        <w:rPr>
          <w:rFonts w:cs="Arial" w:ascii="Arial" w:hAnsi="Arial"/>
          <w:color w:val="000000"/>
        </w:rPr>
        <w:t xml:space="preserve">. </w:t>
      </w:r>
      <w:r>
        <w:rPr>
          <w:rFonts w:cs="Arial" w:ascii="Arial" w:hAnsi="Arial"/>
        </w:rPr>
        <w:t>Po dopełnieniu obowiązków wynikających z ogólnych zasad postępowania wykonawca prac uprawniony jest do przyjęcia zlecenia i zawarcia umowy na wykonanie prac zabezpieczenia lub usuwania wyrobów zawierających azbest, wraz z oczyszczaniem miejsca pracz azbestem. Przed przystąpieniem do prac konieczne jest również określenie stanu środowiska naturalnego, w tym określenie strefy przyszłych prac. Pozwoli to na określenie stopnia narażenia na azbest w miejscu pracy oraz prawidłowe przygotowanie planu prac.</w:t>
      </w:r>
    </w:p>
    <w:p>
      <w:pPr>
        <w:pStyle w:val="Normal"/>
        <w:spacing w:lineRule="auto" w:line="360"/>
        <w:jc w:val="both"/>
        <w:rPr>
          <w:rFonts w:ascii="Arial" w:hAnsi="Arial" w:cs="Arial"/>
        </w:rPr>
      </w:pPr>
      <w:r>
        <w:rPr>
          <w:rFonts w:cs="Arial" w:ascii="Arial" w:hAnsi="Arial"/>
        </w:rPr>
        <w:t>Plan pracy powinien być sporządzony zgodnie ze stosownymi przepisami i zawierać m.in.:</w:t>
      </w:r>
    </w:p>
    <w:p>
      <w:pPr>
        <w:pStyle w:val="Normal"/>
        <w:numPr>
          <w:ilvl w:val="0"/>
          <w:numId w:val="10"/>
        </w:numPr>
        <w:spacing w:lineRule="auto" w:line="360" w:before="0" w:after="0"/>
        <w:ind w:left="714" w:hanging="357"/>
        <w:jc w:val="both"/>
        <w:rPr>
          <w:rFonts w:ascii="Arial" w:hAnsi="Arial" w:cs="Arial"/>
        </w:rPr>
      </w:pPr>
      <w:r>
        <w:rPr>
          <w:rFonts w:cs="Arial" w:ascii="Arial" w:hAnsi="Arial"/>
        </w:rPr>
        <w:t>określenie miejsca wykonywania prac oraz charakteru prac i przewidywanego czasu ich trwania,</w:t>
      </w:r>
    </w:p>
    <w:p>
      <w:pPr>
        <w:pStyle w:val="Normal"/>
        <w:numPr>
          <w:ilvl w:val="0"/>
          <w:numId w:val="10"/>
        </w:numPr>
        <w:spacing w:lineRule="auto" w:line="360" w:before="0" w:after="0"/>
        <w:ind w:left="714" w:hanging="357"/>
        <w:jc w:val="both"/>
        <w:rPr>
          <w:rFonts w:ascii="Arial" w:hAnsi="Arial" w:cs="Arial"/>
        </w:rPr>
      </w:pPr>
      <w:r>
        <w:rPr>
          <w:rFonts w:cs="Arial" w:ascii="Arial" w:hAnsi="Arial"/>
        </w:rPr>
        <w:t>określenie rodzaju azbestu w wyrobach przeznaczonych do usunięcia,</w:t>
      </w:r>
    </w:p>
    <w:p>
      <w:pPr>
        <w:pStyle w:val="Normal"/>
        <w:numPr>
          <w:ilvl w:val="0"/>
          <w:numId w:val="10"/>
        </w:numPr>
        <w:spacing w:lineRule="auto" w:line="360" w:before="0" w:after="0"/>
        <w:jc w:val="both"/>
        <w:rPr>
          <w:rFonts w:ascii="Arial" w:hAnsi="Arial" w:cs="Arial"/>
        </w:rPr>
      </w:pPr>
      <w:r>
        <w:rPr>
          <w:rFonts w:cs="Arial" w:ascii="Arial" w:hAnsi="Arial"/>
        </w:rPr>
        <w:t>aktualną „Ocenę stanu...”,</w:t>
      </w:r>
    </w:p>
    <w:p>
      <w:pPr>
        <w:pStyle w:val="Normal"/>
        <w:numPr>
          <w:ilvl w:val="0"/>
          <w:numId w:val="10"/>
        </w:numPr>
        <w:spacing w:lineRule="auto" w:line="360" w:before="0" w:after="0"/>
        <w:jc w:val="both"/>
        <w:rPr>
          <w:rFonts w:ascii="Arial" w:hAnsi="Arial" w:cs="Arial"/>
        </w:rPr>
      </w:pPr>
      <w:r>
        <w:rPr>
          <w:rFonts w:cs="Arial" w:ascii="Arial" w:hAnsi="Arial"/>
        </w:rPr>
        <w:t>przewidywaną ilość wytwarzanych odpadów do usunięcia,</w:t>
      </w:r>
    </w:p>
    <w:p>
      <w:pPr>
        <w:pStyle w:val="Normal"/>
        <w:numPr>
          <w:ilvl w:val="0"/>
          <w:numId w:val="10"/>
        </w:numPr>
        <w:spacing w:lineRule="auto" w:line="360" w:before="0" w:after="0"/>
        <w:jc w:val="both"/>
        <w:rPr>
          <w:rFonts w:ascii="Arial" w:hAnsi="Arial" w:cs="Arial"/>
        </w:rPr>
      </w:pPr>
      <w:r>
        <w:rPr>
          <w:rFonts w:cs="Arial" w:ascii="Arial" w:hAnsi="Arial"/>
        </w:rPr>
        <w:t>ustalenie odpowiednich sposobów usuwania wyrobów zawierających azbest,</w:t>
      </w:r>
    </w:p>
    <w:p>
      <w:pPr>
        <w:pStyle w:val="Normal"/>
        <w:numPr>
          <w:ilvl w:val="0"/>
          <w:numId w:val="10"/>
        </w:numPr>
        <w:spacing w:lineRule="auto" w:line="360" w:before="0" w:after="0"/>
        <w:jc w:val="both"/>
        <w:rPr>
          <w:rFonts w:ascii="Arial" w:hAnsi="Arial" w:cs="Arial"/>
        </w:rPr>
      </w:pPr>
      <w:r>
        <w:rPr>
          <w:rFonts w:cs="Arial" w:ascii="Arial" w:hAnsi="Arial"/>
        </w:rPr>
        <w:t>określenie rodzajów i metod pracy, z uwzględnieniem środków technicznych,</w:t>
      </w:r>
    </w:p>
    <w:p>
      <w:pPr>
        <w:pStyle w:val="Normal"/>
        <w:numPr>
          <w:ilvl w:val="0"/>
          <w:numId w:val="10"/>
        </w:numPr>
        <w:spacing w:lineRule="auto" w:line="360" w:before="0" w:after="0"/>
        <w:jc w:val="both"/>
        <w:rPr>
          <w:rFonts w:ascii="Arial" w:hAnsi="Arial" w:cs="Arial"/>
        </w:rPr>
      </w:pPr>
      <w:r>
        <w:rPr>
          <w:rFonts w:cs="Arial" w:ascii="Arial" w:hAnsi="Arial"/>
        </w:rPr>
        <w:t>określenie sposobów eliminowania lub ograniczenia uwalniania się pyłu azbestu do powietrza,</w:t>
      </w:r>
    </w:p>
    <w:p>
      <w:pPr>
        <w:pStyle w:val="Normal"/>
        <w:numPr>
          <w:ilvl w:val="0"/>
          <w:numId w:val="10"/>
        </w:numPr>
        <w:spacing w:lineRule="auto" w:line="360" w:before="0" w:after="0"/>
        <w:jc w:val="both"/>
        <w:rPr>
          <w:rFonts w:ascii="Arial" w:hAnsi="Arial" w:cs="Arial"/>
        </w:rPr>
      </w:pPr>
      <w:r>
        <w:rPr>
          <w:rFonts w:cs="Arial" w:ascii="Arial" w:hAnsi="Arial"/>
        </w:rPr>
        <w:t xml:space="preserve">zapewnienie pracownikom niezbędnej ochrony zdrowia i bezpieczeństwa pracy, </w:t>
      </w:r>
    </w:p>
    <w:p>
      <w:pPr>
        <w:pStyle w:val="Normal"/>
        <w:numPr>
          <w:ilvl w:val="0"/>
          <w:numId w:val="10"/>
        </w:numPr>
        <w:spacing w:lineRule="auto" w:line="360" w:before="0" w:after="0"/>
        <w:jc w:val="both"/>
        <w:rPr>
          <w:rFonts w:ascii="Arial" w:hAnsi="Arial" w:cs="Arial"/>
        </w:rPr>
      </w:pPr>
      <w:r>
        <w:rPr>
          <w:rFonts w:cs="Arial" w:ascii="Arial" w:hAnsi="Arial"/>
        </w:rPr>
        <w:t>charakterystykę środków ochronnych użytych do ochrony pracowników i innych osób znajdujących się w miejscu pracy.</w:t>
      </w:r>
    </w:p>
    <w:p>
      <w:pPr>
        <w:pStyle w:val="Normal"/>
        <w:spacing w:lineRule="auto" w:line="360" w:before="0" w:after="0"/>
        <w:ind w:firstLine="708"/>
        <w:jc w:val="both"/>
        <w:rPr>
          <w:rFonts w:ascii="Arial" w:hAnsi="Arial" w:cs="Arial"/>
        </w:rPr>
      </w:pPr>
      <w:r>
        <w:rPr>
          <w:rFonts w:cs="Arial" w:ascii="Arial" w:hAnsi="Arial"/>
        </w:rPr>
        <w:t>Następnie powinien zostać opracowany plan bezpieczeństwa i ochrony zdrowia, zwany "Planem Bioz”, obejmujący m.in.:</w:t>
      </w:r>
    </w:p>
    <w:p>
      <w:pPr>
        <w:pStyle w:val="Normal"/>
        <w:numPr>
          <w:ilvl w:val="0"/>
          <w:numId w:val="11"/>
        </w:numPr>
        <w:spacing w:lineRule="auto" w:line="360" w:before="0" w:after="0"/>
        <w:jc w:val="both"/>
        <w:rPr>
          <w:rFonts w:ascii="Arial" w:hAnsi="Arial" w:cs="Arial"/>
        </w:rPr>
      </w:pPr>
      <w:r>
        <w:rPr>
          <w:rFonts w:cs="Arial" w:ascii="Arial" w:hAnsi="Arial"/>
        </w:rPr>
        <w:t>informacje dotyczące przewidywanych zagrożeń, występujących podczas realizacji robót budowlanych, określające skalę i rodzaje zagrożeń oraz miejsce i czas ich wystąpienia,</w:t>
      </w:r>
    </w:p>
    <w:p>
      <w:pPr>
        <w:pStyle w:val="Normal"/>
        <w:numPr>
          <w:ilvl w:val="0"/>
          <w:numId w:val="11"/>
        </w:numPr>
        <w:spacing w:lineRule="auto" w:line="360" w:before="0" w:after="0"/>
        <w:jc w:val="both"/>
        <w:rPr>
          <w:rFonts w:ascii="Arial" w:hAnsi="Arial" w:cs="Arial"/>
        </w:rPr>
      </w:pPr>
      <w:r>
        <w:rPr>
          <w:rFonts w:cs="Arial" w:ascii="Arial" w:hAnsi="Arial"/>
        </w:rPr>
        <w:t>informację o wydzieleniu i oznakowaniu miejsc prowadzenia robót budowlanych, stosownie do rodzaju zagrożenia,</w:t>
      </w:r>
    </w:p>
    <w:p>
      <w:pPr>
        <w:pStyle w:val="Normal"/>
        <w:numPr>
          <w:ilvl w:val="0"/>
          <w:numId w:val="11"/>
        </w:numPr>
        <w:spacing w:lineRule="auto" w:line="360" w:before="0" w:after="0"/>
        <w:ind w:left="714" w:hanging="357"/>
        <w:jc w:val="both"/>
        <w:rPr>
          <w:rFonts w:ascii="Arial" w:hAnsi="Arial" w:cs="Arial"/>
        </w:rPr>
      </w:pPr>
      <w:r>
        <w:rPr>
          <w:rFonts w:cs="Arial" w:ascii="Arial" w:hAnsi="Arial"/>
        </w:rPr>
        <w:t>informację o sposobie prowadzenia instruktażu pracowników przed przystąpieniem do realizacji robót szczególnie niebezpiecznych w tym:</w:t>
      </w:r>
    </w:p>
    <w:p>
      <w:pPr>
        <w:pStyle w:val="ListParagraph"/>
        <w:numPr>
          <w:ilvl w:val="0"/>
          <w:numId w:val="29"/>
        </w:numPr>
        <w:spacing w:lineRule="auto" w:line="360" w:before="0" w:after="0"/>
        <w:ind w:left="714" w:hanging="357"/>
        <w:contextualSpacing/>
        <w:jc w:val="both"/>
        <w:rPr>
          <w:rFonts w:ascii="Arial" w:hAnsi="Arial" w:cs="Arial"/>
        </w:rPr>
      </w:pPr>
      <w:r>
        <w:rPr>
          <w:rFonts w:cs="Arial" w:ascii="Arial" w:hAnsi="Arial"/>
        </w:rPr>
        <w:t>określenie zasad postępowania w przypadku wystąpienia zagrożenia,</w:t>
      </w:r>
    </w:p>
    <w:p>
      <w:pPr>
        <w:pStyle w:val="ListParagraph"/>
        <w:numPr>
          <w:ilvl w:val="0"/>
          <w:numId w:val="29"/>
        </w:numPr>
        <w:spacing w:lineRule="auto" w:line="360" w:before="0" w:after="0"/>
        <w:ind w:left="714" w:hanging="357"/>
        <w:contextualSpacing/>
        <w:jc w:val="both"/>
        <w:rPr>
          <w:rFonts w:ascii="Arial" w:hAnsi="Arial" w:cs="Arial"/>
        </w:rPr>
      </w:pPr>
      <w:r>
        <w:rPr>
          <w:rFonts w:cs="Arial" w:ascii="Arial" w:hAnsi="Arial"/>
        </w:rPr>
        <w:t>konieczność stosowania przez pracowników środków ochrony indywidualnej, zabezpieczających przed skutkami zagrożeń,</w:t>
      </w:r>
    </w:p>
    <w:p>
      <w:pPr>
        <w:pStyle w:val="ListParagraph"/>
        <w:numPr>
          <w:ilvl w:val="0"/>
          <w:numId w:val="29"/>
        </w:numPr>
        <w:spacing w:lineRule="auto" w:line="360" w:before="0" w:after="0"/>
        <w:ind w:left="714" w:hanging="357"/>
        <w:contextualSpacing/>
        <w:jc w:val="both"/>
        <w:rPr>
          <w:rFonts w:ascii="Arial" w:hAnsi="Arial" w:cs="Arial"/>
        </w:rPr>
      </w:pPr>
      <w:r>
        <w:rPr>
          <w:rFonts w:cs="Arial" w:ascii="Arial" w:hAnsi="Arial"/>
        </w:rPr>
        <w:t>zasady bezpośredniego nadzoru nad pracami szczególnie niebezpiecznymi, przez wyznaczone w tym celu osoby,</w:t>
      </w:r>
    </w:p>
    <w:p>
      <w:pPr>
        <w:pStyle w:val="Normal"/>
        <w:numPr>
          <w:ilvl w:val="0"/>
          <w:numId w:val="12"/>
        </w:numPr>
        <w:spacing w:lineRule="auto" w:line="360" w:before="0" w:after="0"/>
        <w:jc w:val="both"/>
        <w:rPr>
          <w:rFonts w:ascii="Arial" w:hAnsi="Arial" w:cs="Arial"/>
        </w:rPr>
      </w:pPr>
      <w:r>
        <w:rPr>
          <w:rFonts w:cs="Arial" w:ascii="Arial" w:hAnsi="Arial"/>
        </w:rPr>
        <w:t>określenie sposobu przechowywania i przemieszczania materiałów, wyrobów, substancji oraz preparatów niebezpiecznych na terenie budowy,</w:t>
      </w:r>
    </w:p>
    <w:p>
      <w:pPr>
        <w:pStyle w:val="Normal"/>
        <w:numPr>
          <w:ilvl w:val="0"/>
          <w:numId w:val="12"/>
        </w:numPr>
        <w:spacing w:lineRule="auto" w:line="360" w:before="0" w:after="0"/>
        <w:jc w:val="both"/>
        <w:rPr>
          <w:rFonts w:ascii="Arial" w:hAnsi="Arial" w:cs="Arial"/>
        </w:rPr>
      </w:pPr>
      <w:r>
        <w:rPr>
          <w:rFonts w:cs="Arial" w:ascii="Arial" w:hAnsi="Arial"/>
        </w:rPr>
        <w:t>wskazanie środków technicznych i organizacyjnych, zapobiegających niebezpieczeństwom wynikającym z wykonywania robót budowlanych w strefach szczególnego zagrożenia zdrowia lub w ich sąsiedztwie.</w:t>
      </w:r>
    </w:p>
    <w:p>
      <w:pPr>
        <w:pStyle w:val="Normal"/>
        <w:spacing w:lineRule="auto" w:line="360" w:before="0" w:after="0"/>
        <w:ind w:firstLine="709"/>
        <w:jc w:val="both"/>
        <w:rPr>
          <w:rFonts w:ascii="Arial" w:hAnsi="Arial" w:cs="Arial"/>
        </w:rPr>
      </w:pPr>
      <w:r>
        <w:rPr>
          <w:rFonts w:cs="Arial" w:ascii="Arial" w:hAnsi="Arial"/>
        </w:rPr>
        <w:t>Pracodawca jest obowiązany zapoznać pracowników lub ich przedstawicieli z planem prac, szczególnie w zakresie bezpieczeństwa i ochrony zdrowia.</w:t>
      </w:r>
    </w:p>
    <w:p>
      <w:pPr>
        <w:pStyle w:val="Normal"/>
        <w:spacing w:lineRule="auto" w:line="360"/>
        <w:ind w:firstLine="709"/>
        <w:jc w:val="both"/>
        <w:rPr>
          <w:rFonts w:ascii="Arial" w:hAnsi="Arial" w:cs="Arial"/>
        </w:rPr>
      </w:pPr>
      <w:r>
        <w:rPr>
          <w:rFonts w:cs="Arial" w:ascii="Arial" w:hAnsi="Arial"/>
        </w:rPr>
        <w:t xml:space="preserve">Wykonawca prac jest obowiązany przeszkolić wszystkie osoby pozostające w kontakcie z azbestem, pracowników bezpośrednio zatrudnionych, kierujących i nadzorujących prace w zakresie zasad bezpieczeństwa i higieny pracy przy postępowaniu z wyrobami zawierającymi azbest i ich odpadami. Szkolenie powinno być przeprowadzone zgodnie z przepisami </w:t>
      </w:r>
      <w:r>
        <w:rPr>
          <w:rFonts w:cs="Arial" w:ascii="Arial" w:hAnsi="Arial"/>
          <w:i/>
        </w:rPr>
        <w:t>Rozporządzenia Ministra Gospodarki i Pracy z dnia 14 października 2005 r. w sprawie zasad bezpieczeństwa i higieny pracy przy zabezpieczaniu i usuwaniu wyrobów zawierających azbest oraz programu szkolenia w zakresie bezpiecznego użytkowania takich wyrobów (Dz.U. 2005 nr 216 poz. 1824</w:t>
        <w:tab/>
        <w:t>)</w:t>
      </w:r>
      <w:r>
        <w:rPr>
          <w:rFonts w:cs="Arial" w:ascii="Arial" w:hAnsi="Arial"/>
        </w:rPr>
        <w:t xml:space="preserve"> przez upoważnioną instytucję i potwierdzone odpowiednim świadectwem lub zaświadczeniem.</w:t>
      </w:r>
    </w:p>
    <w:p>
      <w:pPr>
        <w:pStyle w:val="Normal"/>
        <w:spacing w:lineRule="auto" w:line="360" w:before="0" w:after="0"/>
        <w:ind w:firstLine="709"/>
        <w:jc w:val="both"/>
        <w:rPr>
          <w:rFonts w:ascii="Arial" w:hAnsi="Arial" w:cs="Arial"/>
        </w:rPr>
      </w:pPr>
      <w:r>
        <w:rPr>
          <w:rFonts w:cs="Arial" w:ascii="Arial" w:hAnsi="Arial"/>
        </w:rPr>
        <w:t>Pracodawca jest obowiązany do zapewnienia pracownikom odpowiednich ubrań roboczych w takiej ilości, aby zabezpieczyć pracowników przez cały czas trwania robót. Po zakończeniu prac dokonać oczyszczania terenu przedmiotowej inwestycji.</w:t>
      </w:r>
    </w:p>
    <w:p>
      <w:pPr>
        <w:pStyle w:val="Normal"/>
        <w:spacing w:lineRule="auto" w:line="360" w:before="0" w:after="0"/>
        <w:ind w:firstLine="709"/>
        <w:jc w:val="both"/>
        <w:rPr>
          <w:rFonts w:ascii="Arial" w:hAnsi="Arial" w:cs="Arial"/>
        </w:rPr>
      </w:pPr>
      <w:r>
        <w:rPr>
          <w:rFonts w:cs="Arial" w:ascii="Arial" w:hAnsi="Arial"/>
        </w:rPr>
        <w:t>Pracodawca będący wytwórcą odpadów niebezpiecznych, zawierających azbest obowiązany jest do przygotowania, prowadzenia i przechowywania rejestru pracowników narażonych na działanie azbestu. Po zakończeniu prac pracodawca jest obowiązany zapewnić uprzątniecie terenu wykonywania prac z odpadów zawierających azbest oraz oczyszczenie z pyłu azbestu.</w:t>
      </w:r>
    </w:p>
    <w:p>
      <w:pPr>
        <w:pStyle w:val="Normal"/>
        <w:spacing w:lineRule="auto" w:line="360" w:before="0" w:after="0"/>
        <w:ind w:firstLine="708"/>
        <w:jc w:val="both"/>
        <w:rPr>
          <w:rFonts w:ascii="Arial" w:hAnsi="Arial" w:cs="Arial"/>
        </w:rPr>
      </w:pPr>
      <w:r>
        <w:rPr>
          <w:rFonts w:cs="Arial" w:ascii="Arial" w:hAnsi="Arial"/>
        </w:rPr>
        <w:t>Ważną sprawą jest przygotowanie miejsca i sposobu tymczasowego magazynowania odpadów niebezpiecznych na placu budowy, po ich demontażu, a jeszcze przed transportem na składowisko. Miejsce takie powinno być wydzielone i zabezpieczone przed dostępem osób niepowołanych oraz oznakowane znakami ostrzegawczymi o treści: „Uwaga! Zagrożenie azbestem!”, „Osobom nieupoważnionym wstęp wzbroniony”.</w:t>
      </w:r>
    </w:p>
    <w:p>
      <w:pPr>
        <w:pStyle w:val="Normal"/>
        <w:spacing w:lineRule="auto" w:line="360" w:before="0" w:after="0"/>
        <w:ind w:firstLine="708"/>
        <w:jc w:val="both"/>
        <w:rPr>
          <w:rFonts w:ascii="Arial" w:hAnsi="Arial" w:cs="Arial"/>
        </w:rPr>
      </w:pPr>
      <w:r>
        <w:rPr>
          <w:rFonts w:cs="Arial" w:ascii="Arial" w:hAnsi="Arial"/>
        </w:rPr>
        <w:t>Na potrzeby ewidencji odpadów niebezpiecznych, wytwórca odpadów przygotowuje dokumenty, którymi są:</w:t>
      </w:r>
    </w:p>
    <w:p>
      <w:pPr>
        <w:pStyle w:val="Normal"/>
        <w:numPr>
          <w:ilvl w:val="0"/>
          <w:numId w:val="13"/>
        </w:numPr>
        <w:spacing w:lineRule="auto" w:line="360" w:before="0" w:after="0"/>
        <w:jc w:val="both"/>
        <w:rPr>
          <w:rFonts w:ascii="Arial" w:hAnsi="Arial" w:cs="Arial"/>
        </w:rPr>
      </w:pPr>
      <w:r>
        <w:rPr>
          <w:rFonts w:cs="Arial" w:ascii="Arial" w:hAnsi="Arial"/>
        </w:rPr>
        <w:t>karta ewidencji odpadu (załącznik nr 5),</w:t>
      </w:r>
    </w:p>
    <w:p>
      <w:pPr>
        <w:pStyle w:val="Normal"/>
        <w:numPr>
          <w:ilvl w:val="0"/>
          <w:numId w:val="13"/>
        </w:numPr>
        <w:spacing w:lineRule="auto" w:line="360" w:before="0" w:after="0"/>
        <w:jc w:val="both"/>
        <w:rPr>
          <w:rFonts w:ascii="Arial" w:hAnsi="Arial" w:cs="Arial"/>
        </w:rPr>
      </w:pPr>
      <w:r>
        <w:rPr>
          <w:rFonts w:cs="Arial" w:ascii="Arial" w:hAnsi="Arial"/>
        </w:rPr>
        <w:t>karta przekazania odpadu (załącznik nr 6).</w:t>
      </w:r>
    </w:p>
    <w:p>
      <w:pPr>
        <w:pStyle w:val="Normal"/>
        <w:spacing w:lineRule="auto" w:line="360" w:before="0" w:after="0"/>
        <w:ind w:firstLine="708"/>
        <w:jc w:val="both"/>
        <w:rPr>
          <w:rFonts w:ascii="Arial" w:hAnsi="Arial" w:cs="Arial"/>
        </w:rPr>
      </w:pPr>
      <w:r>
        <w:rPr>
          <w:rFonts w:cs="Arial" w:ascii="Arial" w:hAnsi="Arial"/>
        </w:rPr>
        <w:t>Celem zapewnienia składowania odpadów niebezpiecznych powstałych po usuwaniu wyrobów zawierających azbest, wytwórca odpadów powinien przed przeprowadzeniem robót, zawrzeć porozumienie z zarządzającym składowiskiem, odpowiednim dla odpadów niebezpiecznych zawierających azbest (składowanie oddzielne lub przygotowana kwatera na innym składowisku). Ważne znaczenie dla prawidłowego przygotowania robót ma skompletowanie wyposażenia technicznego, w tym narzędzi ręcznych i wolnoobrotowych, narzędzi mechanicznych, urządzeń wentylacyjnych oraz podstawowego sprzętu przeciwpożarowego. Na tym etapie należy też zabezpieczyć techniczne środki zapobiegające emisji azbestu w miejscu pracy oraz środowisku, w zależności od określenia stanu środowiska, przed przystąpieniem do wykonywania prac.</w:t>
      </w:r>
    </w:p>
    <w:p>
      <w:pPr>
        <w:pStyle w:val="Normal"/>
        <w:spacing w:lineRule="auto" w:line="360" w:before="0" w:after="0"/>
        <w:ind w:firstLine="708"/>
        <w:jc w:val="both"/>
        <w:rPr>
          <w:rFonts w:ascii="Arial" w:hAnsi="Arial" w:cs="Arial"/>
        </w:rPr>
      </w:pPr>
      <w:r>
        <w:rPr>
          <w:rFonts w:cs="Arial" w:ascii="Arial" w:hAnsi="Arial"/>
        </w:rPr>
        <w:t>Jeżeli usuwane są wyroby o gęstości objętościowej mniejszej niż 1000kg/m</w:t>
      </w:r>
      <w:r>
        <w:rPr>
          <w:rFonts w:cs="Arial" w:ascii="Arial" w:hAnsi="Arial"/>
          <w:vertAlign w:val="superscript"/>
        </w:rPr>
        <w:t>3</w:t>
      </w:r>
      <w:r>
        <w:rPr>
          <w:rFonts w:cs="Arial" w:ascii="Arial" w:hAnsi="Arial"/>
        </w:rPr>
        <w:t>, lub inne, mocno uszkodzone, a także zawierające krokidolit oraz wyroby znajdujące się w pomieszczeniach zamkniętych, to niezbędne jest zawarcie umowy z laboratorium upoważnionym do prowadzenia monitoringu powietrza. Duże znaczenie ma również przygotowanie i organizacja zaplecza budowy, w tym części socjalnej, obejmującej:</w:t>
      </w:r>
    </w:p>
    <w:p>
      <w:pPr>
        <w:pStyle w:val="Normal"/>
        <w:numPr>
          <w:ilvl w:val="0"/>
          <w:numId w:val="14"/>
        </w:numPr>
        <w:spacing w:lineRule="auto" w:line="360" w:before="0" w:after="0"/>
        <w:jc w:val="both"/>
        <w:rPr>
          <w:rFonts w:ascii="Arial" w:hAnsi="Arial" w:cs="Arial"/>
        </w:rPr>
      </w:pPr>
      <w:r>
        <w:rPr>
          <w:rFonts w:cs="Arial" w:ascii="Arial" w:hAnsi="Arial"/>
        </w:rPr>
        <w:t>urządzenia sanitarno-higieniczne, z możliwością umycia się i natrysku po pracy w kontakcie z azbestem,</w:t>
      </w:r>
    </w:p>
    <w:p>
      <w:pPr>
        <w:pStyle w:val="Normal"/>
        <w:numPr>
          <w:ilvl w:val="0"/>
          <w:numId w:val="14"/>
        </w:numPr>
        <w:spacing w:lineRule="auto" w:line="360" w:before="0" w:after="0"/>
        <w:jc w:val="both"/>
        <w:rPr>
          <w:rFonts w:ascii="Arial" w:hAnsi="Arial" w:cs="Arial"/>
        </w:rPr>
      </w:pPr>
      <w:r>
        <w:rPr>
          <w:rFonts w:cs="Arial" w:ascii="Arial" w:hAnsi="Arial"/>
        </w:rPr>
        <w:t>pomieszczenia na szatnie - czyste i brudne,</w:t>
      </w:r>
    </w:p>
    <w:p>
      <w:pPr>
        <w:pStyle w:val="Normal"/>
        <w:numPr>
          <w:ilvl w:val="0"/>
          <w:numId w:val="14"/>
        </w:numPr>
        <w:spacing w:lineRule="auto" w:line="360" w:before="0" w:after="0"/>
        <w:jc w:val="both"/>
        <w:rPr>
          <w:rFonts w:ascii="Arial" w:hAnsi="Arial" w:cs="Arial"/>
        </w:rPr>
      </w:pPr>
      <w:r>
        <w:rPr>
          <w:rFonts w:cs="Arial" w:ascii="Arial" w:hAnsi="Arial"/>
        </w:rPr>
        <w:t>pomieszczenia dla spożywania posiłków oraz regeneracji.</w:t>
      </w:r>
    </w:p>
    <w:p>
      <w:pPr>
        <w:pStyle w:val="Normal"/>
        <w:spacing w:lineRule="auto" w:line="360" w:before="0" w:after="0"/>
        <w:jc w:val="both"/>
        <w:rPr>
          <w:rFonts w:ascii="Arial" w:hAnsi="Arial" w:cs="Arial"/>
        </w:rPr>
      </w:pPr>
      <w:r>
        <w:rPr>
          <w:rFonts w:cs="Arial" w:ascii="Arial" w:hAnsi="Arial"/>
        </w:rPr>
        <w:t>W planie prac – w zależności od wielkości lub specyfiki budynku, budowli, instalacji lub urządzenia, a również terenu, gdzie prowadzone będą prace zabezpieczenia lub usuwania wyrobów zawierających azbest, także występującego stopnia narażenia na azbest – mogą zostać określone również inne niezbędne wymagania.</w:t>
      </w:r>
    </w:p>
    <w:p>
      <w:pPr>
        <w:pStyle w:val="Normal"/>
        <w:spacing w:lineRule="auto" w:line="360" w:before="0" w:after="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b/>
        </w:rPr>
        <w:t xml:space="preserve">Procedura 4. </w:t>
      </w:r>
      <w:r>
        <w:rPr>
          <w:rFonts w:cs="Arial" w:ascii="Arial" w:hAnsi="Arial"/>
        </w:rPr>
        <w:t>Zakres procedury obejmuje działania od rozpoczęcia do zakończenia prac polegających na zabezpieczeniu lub usuwaniu wyrobów zawierających azbest, wytwarzaniu odpadów niebezpiecznych, wraz z oczyszczaniem budynku, budowli, instalacji lub urządzenia i terenu z pozostałości azbestu.</w:t>
      </w:r>
    </w:p>
    <w:p>
      <w:pPr>
        <w:pStyle w:val="Normal"/>
        <w:spacing w:lineRule="auto" w:line="360" w:before="0" w:after="0"/>
        <w:jc w:val="both"/>
        <w:rPr>
          <w:rFonts w:ascii="Arial" w:hAnsi="Arial" w:cs="Arial"/>
        </w:rPr>
      </w:pPr>
      <w:r>
        <w:rPr>
          <w:rFonts w:cs="Arial" w:ascii="Arial" w:hAnsi="Arial"/>
          <w:b/>
          <w:i/>
          <w:u w:val="single"/>
        </w:rPr>
        <w:t>P R O C E D U R A 4.</w:t>
      </w:r>
      <w:r>
        <w:rPr>
          <w:rFonts w:cs="Arial" w:ascii="Arial" w:hAnsi="Arial"/>
        </w:rPr>
        <w:t xml:space="preserve"> Prace polegające na usuwaniu wyrobów zawierających azbest, wytwarzaniu odpadów niebezpiecznych, wraz z oczyszczaniem obiektu (terenu) instalacji z azbestu.</w:t>
      </w:r>
      <w:bookmarkStart w:id="50" w:name="_Toc42585058"/>
      <w:bookmarkStart w:id="51" w:name="_Toc42666881"/>
      <w:bookmarkStart w:id="52" w:name="_Toc43271480"/>
      <w:bookmarkStart w:id="53" w:name="_Toc44824188"/>
      <w:bookmarkEnd w:id="50"/>
      <w:bookmarkEnd w:id="51"/>
      <w:bookmarkEnd w:id="52"/>
      <w:bookmarkEnd w:id="53"/>
    </w:p>
    <w:p>
      <w:pPr>
        <w:pStyle w:val="Normal"/>
        <w:spacing w:lineRule="auto" w:line="360" w:before="0" w:after="0"/>
        <w:ind w:firstLine="708"/>
        <w:jc w:val="both"/>
        <w:rPr>
          <w:rFonts w:ascii="Arial" w:hAnsi="Arial" w:cs="Arial"/>
        </w:rPr>
      </w:pPr>
      <w:r>
        <w:rPr>
          <w:rFonts w:cs="Arial" w:ascii="Arial" w:hAnsi="Arial"/>
        </w:rPr>
        <w:t>Na początku należy wykonać odpowiednie zabezpieczenia obiektu, będącego przedmiotem prac i miejsc ich wykonywania, a także terenu wokół – przed emisją pyłu azbestu, która może mieć miejsce w wyniku prowadzenia prac.</w:t>
      </w:r>
    </w:p>
    <w:p>
      <w:pPr>
        <w:pStyle w:val="Normal"/>
        <w:spacing w:lineRule="auto" w:line="360" w:before="0" w:after="0"/>
        <w:ind w:firstLine="709"/>
        <w:jc w:val="both"/>
        <w:rPr>
          <w:rFonts w:ascii="Arial" w:hAnsi="Arial" w:cs="Arial"/>
        </w:rPr>
      </w:pPr>
      <w:r>
        <w:rPr>
          <w:rFonts w:cs="Arial" w:ascii="Arial" w:hAnsi="Arial"/>
        </w:rPr>
        <w:t>Teren należy ogrodzić, zachowując bezpieczną odległość od traktów komunikacyjnych dla pieszych, nie mniej niż 2 m przy zastosowaniu osłon. Teren prac należy ogrodzić i oznakować taśmami ostrzegawczymi w kolorze biało-czerwonym i umieścić tablice ostrzegawcze z napisami „Uwaga! Zagrożenie azbestem!”, „Osobom nieupoważnionym wstęp wzbroniony” lub „Zagrożenie azbestem krokidolitem”.</w:t>
      </w:r>
    </w:p>
    <w:p>
      <w:pPr>
        <w:pStyle w:val="Normal"/>
        <w:spacing w:lineRule="auto" w:line="360" w:before="0" w:after="0"/>
        <w:ind w:firstLine="709"/>
        <w:jc w:val="both"/>
        <w:rPr>
          <w:rFonts w:ascii="Arial" w:hAnsi="Arial" w:cs="Arial"/>
        </w:rPr>
      </w:pPr>
      <w:r>
        <w:rPr>
          <w:rFonts w:cs="Arial" w:ascii="Arial" w:hAnsi="Arial"/>
        </w:rPr>
        <w:t>Przy pracach elewacyjnych powinny być stosowane odpowiednie kurtyny zasłaniające fasadę obiektu, aż do gruntu, a teren wokół objęty kurtyną, powinien być wyłożony grubą folią, dla łatwego oczyszczania po każdej zmianie roboczej.</w:t>
      </w:r>
    </w:p>
    <w:p>
      <w:pPr>
        <w:pStyle w:val="Normal"/>
        <w:spacing w:lineRule="auto" w:line="360"/>
        <w:jc w:val="both"/>
        <w:rPr>
          <w:rFonts w:ascii="Arial" w:hAnsi="Arial" w:cs="Arial"/>
        </w:rPr>
      </w:pPr>
      <w:r>
        <w:rPr/>
        <w:drawing>
          <wp:inline distT="0" distB="0" distL="0" distR="0" wp14:anchorId="4A3DCE9E">
            <wp:extent cx="6032500" cy="4822190"/>
            <wp:effectExtent l="0" t="57150" r="0" b="95250"/>
            <wp:docPr id="9" name="Diagram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pPr>
        <w:pStyle w:val="Normal"/>
        <w:spacing w:lineRule="auto" w:line="360"/>
        <w:ind w:firstLine="708"/>
        <w:jc w:val="both"/>
        <w:rPr>
          <w:rFonts w:ascii="Arial" w:hAnsi="Arial" w:cs="Arial"/>
        </w:rPr>
      </w:pPr>
      <w:r>
        <w:rPr>
          <w:rFonts w:cs="Arial" w:ascii="Arial" w:hAnsi="Arial"/>
        </w:rPr>
      </w:r>
    </w:p>
    <w:p>
      <w:pPr>
        <w:pStyle w:val="Normal"/>
        <w:spacing w:lineRule="auto" w:line="360"/>
        <w:ind w:firstLine="708"/>
        <w:jc w:val="both"/>
        <w:rPr>
          <w:rFonts w:ascii="Arial" w:hAnsi="Arial" w:cs="Arial"/>
        </w:rPr>
      </w:pPr>
      <w:r>
        <w:rPr>
          <w:rFonts w:cs="Arial" w:ascii="Arial" w:hAnsi="Arial"/>
        </w:rPr>
        <w:t>Ogólne zasady postępowania przy usuwaniu wyrobów zawierających azbest określają następujące wymagania:</w:t>
      </w:r>
    </w:p>
    <w:p>
      <w:pPr>
        <w:pStyle w:val="Normal"/>
        <w:numPr>
          <w:ilvl w:val="0"/>
          <w:numId w:val="15"/>
        </w:numPr>
        <w:spacing w:lineRule="auto" w:line="360" w:before="0" w:after="0"/>
        <w:jc w:val="both"/>
        <w:rPr>
          <w:rFonts w:ascii="Arial" w:hAnsi="Arial" w:cs="Arial"/>
        </w:rPr>
      </w:pPr>
      <w:r>
        <w:rPr>
          <w:rFonts w:cs="Arial" w:ascii="Arial" w:hAnsi="Arial"/>
        </w:rPr>
        <w:t>nawilżanie wodą wyrobów zawierających azbest przed ich usuwaniem i utrzymywanie w stanie wilgotnym przez cały czas pracy,</w:t>
      </w:r>
    </w:p>
    <w:p>
      <w:pPr>
        <w:pStyle w:val="Normal"/>
        <w:numPr>
          <w:ilvl w:val="0"/>
          <w:numId w:val="15"/>
        </w:numPr>
        <w:spacing w:lineRule="auto" w:line="360" w:before="0" w:after="0"/>
        <w:jc w:val="both"/>
        <w:rPr>
          <w:rFonts w:ascii="Arial" w:hAnsi="Arial" w:cs="Arial"/>
        </w:rPr>
      </w:pPr>
      <w:r>
        <w:rPr>
          <w:rFonts w:cs="Arial" w:ascii="Arial" w:hAnsi="Arial"/>
        </w:rPr>
        <w:t>demontaż całych wyrobów (płyt, rur, kształtek itp.) bez jakiegokolwiek uszkodzenia, tam gdzie jest to technicznie możliwe,</w:t>
      </w:r>
    </w:p>
    <w:p>
      <w:pPr>
        <w:pStyle w:val="Normal"/>
        <w:numPr>
          <w:ilvl w:val="0"/>
          <w:numId w:val="15"/>
        </w:numPr>
        <w:spacing w:lineRule="auto" w:line="360" w:before="0" w:after="0"/>
        <w:jc w:val="both"/>
        <w:rPr>
          <w:rFonts w:ascii="Arial" w:hAnsi="Arial" w:cs="Arial"/>
        </w:rPr>
      </w:pPr>
      <w:r>
        <w:rPr>
          <w:rFonts w:cs="Arial" w:ascii="Arial" w:hAnsi="Arial"/>
        </w:rPr>
        <w:t>odspajanie wyrobów trwale związanych z podłożem przy stosowaniu wyłącznie narzędzi ręcznych lub wolnoobrotowych narzędzi mechanicznych, wyposażonych</w:t>
        <w:br/>
        <w:t>w miejscowe instalacje odciągające powietrze,</w:t>
      </w:r>
    </w:p>
    <w:p>
      <w:pPr>
        <w:pStyle w:val="Normal"/>
        <w:numPr>
          <w:ilvl w:val="0"/>
          <w:numId w:val="15"/>
        </w:numPr>
        <w:spacing w:lineRule="auto" w:line="360" w:before="0" w:after="0"/>
        <w:jc w:val="both"/>
        <w:rPr>
          <w:rFonts w:ascii="Arial" w:hAnsi="Arial" w:cs="Arial"/>
        </w:rPr>
      </w:pPr>
      <w:r>
        <w:rPr>
          <w:rFonts w:cs="Arial" w:ascii="Arial" w:hAnsi="Arial"/>
        </w:rPr>
        <w:t>prowadzenie kontrolnego monitoringu powietrza, w przypadku występowania stężeń pyłu azbestu, przekraczających dopuszczalne wartości dla miejsca pracy,</w:t>
      </w:r>
    </w:p>
    <w:p>
      <w:pPr>
        <w:pStyle w:val="Normal"/>
        <w:numPr>
          <w:ilvl w:val="0"/>
          <w:numId w:val="15"/>
        </w:numPr>
        <w:spacing w:lineRule="auto" w:line="360" w:before="0" w:after="0"/>
        <w:jc w:val="both"/>
        <w:rPr>
          <w:rFonts w:ascii="Arial" w:hAnsi="Arial" w:cs="Arial"/>
        </w:rPr>
      </w:pPr>
      <w:r>
        <w:rPr>
          <w:rFonts w:cs="Arial" w:ascii="Arial" w:hAnsi="Arial"/>
        </w:rPr>
        <w:t xml:space="preserve">po każdej zmianie roboczej, usunięte odpady zawierające azbest, powinny zostać szczelnie opakowane i składowane na miejscu ich tymczasowego magazynowania, </w:t>
      </w:r>
    </w:p>
    <w:p>
      <w:pPr>
        <w:pStyle w:val="Normal"/>
        <w:numPr>
          <w:ilvl w:val="0"/>
          <w:numId w:val="15"/>
        </w:numPr>
        <w:spacing w:lineRule="auto" w:line="360" w:before="0" w:after="0"/>
        <w:jc w:val="both"/>
        <w:rPr>
          <w:rFonts w:ascii="Arial" w:hAnsi="Arial" w:cs="Arial"/>
        </w:rPr>
      </w:pPr>
      <w:r>
        <w:rPr>
          <w:rFonts w:cs="Arial" w:ascii="Arial" w:hAnsi="Arial"/>
        </w:rPr>
        <w:t>codzienne, staranne oczyszczanie strefy prac i terenu wokół, dróg wewnętrznych oraz maszyn i urządzeń, z wykorzystaniem podciśnieniowego sprzętu odkurzającego, zaopatrzonego w filtry o dużej skuteczności ciągu (99,99% lub na mokro). Niedopuszczalne jest ręczne zamiatanie na sucho, jak również czyszczenie pomieszczeń i narzędzi pracy przy użyciu sprężonego powietrza.</w:t>
      </w:r>
    </w:p>
    <w:p>
      <w:pPr>
        <w:pStyle w:val="Normal"/>
        <w:spacing w:lineRule="auto" w:line="360" w:before="0" w:after="0"/>
        <w:ind w:firstLine="708"/>
        <w:jc w:val="both"/>
        <w:rPr>
          <w:rFonts w:ascii="Arial" w:hAnsi="Arial" w:cs="Arial"/>
        </w:rPr>
      </w:pPr>
      <w:r>
        <w:rPr>
          <w:rFonts w:cs="Arial" w:ascii="Arial" w:hAnsi="Arial"/>
        </w:rPr>
        <w:t>W przypadku prowadzenia prac z wyrobami azbestowo-cementowymi, których gęstość objętościowa wynosi mniej niż 1000kg/m</w:t>
      </w:r>
      <w:r>
        <w:rPr>
          <w:rFonts w:cs="Arial" w:ascii="Arial" w:hAnsi="Arial"/>
          <w:vertAlign w:val="superscript"/>
        </w:rPr>
        <w:t>3</w:t>
      </w:r>
      <w:r>
        <w:rPr>
          <w:rFonts w:cs="Arial" w:ascii="Arial" w:hAnsi="Arial"/>
        </w:rPr>
        <w:t xml:space="preserve"> (tzw. miękkie), a także z innymi wyrobami, których powierzchnia jest w widoczny sposób uszkodzona lub zniszczona lub jeżeli prace prowadzone są na obiektach, z wyrobami zawierającymi azbest krokidolit, lub też w pomieszczeniach zamkniętych, to powinny być zastosowane szczególne zabezpieczenia strefy prac i ochrony pracowników oraz środowiska, niezależnie od ogólnych zasad postępowania. Są to m.in.:</w:t>
      </w:r>
    </w:p>
    <w:p>
      <w:pPr>
        <w:pStyle w:val="Normal"/>
        <w:numPr>
          <w:ilvl w:val="0"/>
          <w:numId w:val="16"/>
        </w:numPr>
        <w:spacing w:lineRule="auto" w:line="360" w:before="0" w:after="0"/>
        <w:jc w:val="both"/>
        <w:rPr>
          <w:rFonts w:ascii="Arial" w:hAnsi="Arial" w:cs="Arial"/>
        </w:rPr>
      </w:pPr>
      <w:r>
        <w:rPr>
          <w:rFonts w:cs="Arial" w:ascii="Arial" w:hAnsi="Arial"/>
        </w:rPr>
        <w:t>komory dekontaminacyjne (śluzy) dla całych pomieszczeń lub stanowiące łącznik izolacyjny między miejscem stanowiącym strefę prac, a miejscem na zewnątrz obiektu,</w:t>
      </w:r>
    </w:p>
    <w:p>
      <w:pPr>
        <w:pStyle w:val="Normal"/>
        <w:numPr>
          <w:ilvl w:val="0"/>
          <w:numId w:val="16"/>
        </w:numPr>
        <w:spacing w:lineRule="auto" w:line="360" w:before="0" w:after="0"/>
        <w:jc w:val="both"/>
        <w:rPr>
          <w:rFonts w:ascii="Arial" w:hAnsi="Arial" w:cs="Arial"/>
        </w:rPr>
      </w:pPr>
      <w:r>
        <w:rPr>
          <w:rFonts w:cs="Arial" w:ascii="Arial" w:hAnsi="Arial"/>
        </w:rPr>
        <w:t>zaostrzone rygory przestrzegania stosowania środków ochrony osobistej,</w:t>
      </w:r>
    </w:p>
    <w:p>
      <w:pPr>
        <w:pStyle w:val="Normal"/>
        <w:numPr>
          <w:ilvl w:val="0"/>
          <w:numId w:val="16"/>
        </w:numPr>
        <w:spacing w:lineRule="auto" w:line="360" w:before="0" w:after="0"/>
        <w:jc w:val="both"/>
        <w:rPr>
          <w:rFonts w:ascii="Arial" w:hAnsi="Arial" w:cs="Arial"/>
        </w:rPr>
      </w:pPr>
      <w:r>
        <w:rPr>
          <w:rFonts w:cs="Arial" w:ascii="Arial" w:hAnsi="Arial"/>
        </w:rPr>
        <w:t>inne metody określone na etapie prac przygotowawczych.</w:t>
      </w:r>
    </w:p>
    <w:p>
      <w:pPr>
        <w:pStyle w:val="Normal"/>
        <w:spacing w:lineRule="auto" w:line="360" w:before="0" w:after="0"/>
        <w:ind w:firstLine="708"/>
        <w:jc w:val="both"/>
        <w:rPr>
          <w:rFonts w:ascii="Arial" w:hAnsi="Arial" w:cs="Arial"/>
        </w:rPr>
      </w:pPr>
      <w:r>
        <w:rPr>
          <w:rFonts w:cs="Arial" w:ascii="Arial" w:hAnsi="Arial"/>
        </w:rPr>
        <w:t>W obiekcie przylegającym do strefy prac, należy zastosować odpowiednie zabezpieczenia, w tym uszczelnienie otworów okiennych i drzwiowych, a także inne, właściwe dla stopnia narażenia środki zabezpieczające.</w:t>
      </w:r>
    </w:p>
    <w:p>
      <w:pPr>
        <w:pStyle w:val="Normal"/>
        <w:spacing w:lineRule="auto" w:line="360" w:before="0" w:after="0"/>
        <w:ind w:firstLine="708"/>
        <w:jc w:val="both"/>
        <w:rPr>
          <w:rFonts w:ascii="Arial" w:hAnsi="Arial" w:cs="Arial"/>
        </w:rPr>
      </w:pPr>
      <w:r>
        <w:rPr>
          <w:rFonts w:cs="Arial" w:ascii="Arial" w:hAnsi="Arial"/>
        </w:rPr>
        <w:t>Wszystkie zdemontowane wyroby zawierające azbest powinny być szczelnie opakowane w folie z polietylenu, lub polipropylenu o grubości nie mniejszej niż 0,2 mm i zamykane w sposób uniemożliwiający przypadkowe otwarcie (zgrzewem ciągłym lub taśmą klejącą). Niedopuszczalne jest stosowanie worków papierowych. Odpady powstałe z wyrobów o gęstości objętościowej większej niż 1000kg/m</w:t>
      </w:r>
      <w:r>
        <w:rPr>
          <w:rFonts w:cs="Arial" w:ascii="Arial" w:hAnsi="Arial"/>
          <w:vertAlign w:val="superscript"/>
        </w:rPr>
        <w:t>3</w:t>
      </w:r>
      <w:r>
        <w:rPr>
          <w:rFonts w:cs="Arial" w:ascii="Arial" w:hAnsi="Arial"/>
        </w:rPr>
        <w:t>,a więc płyty i rury azbestowo-cementowe lub ich części powinny być szczelnie opakowane w folie. Pył azbestowy oraz odpady powstałe z wyrobów o gęstości objętościowej mniejszej niż 1000kg/m</w:t>
      </w:r>
      <w:r>
        <w:rPr>
          <w:rFonts w:cs="Arial" w:ascii="Arial" w:hAnsi="Arial"/>
          <w:vertAlign w:val="superscript"/>
        </w:rPr>
        <w:t>3</w:t>
      </w:r>
      <w:r>
        <w:rPr>
          <w:rFonts w:cs="Arial" w:ascii="Arial" w:hAnsi="Arial"/>
        </w:rPr>
        <w:t xml:space="preserve"> powinny być zestalone przy użyciu cementu lub żywic syntetycznych i po związaniu spoiwa szczelnie zapakowane w folię. Pakowanie usuniętych wyrobów zawierających azbest powinno odbywać się wyłącznie do opakowań przeznaczonych do ostatecznego składowania i wyraźnie oznakowane, w sposób określony dla azbestu. Etykiety i zamieszczone na nich napisy powinny być trwałe, nieulegające zniszczeniu, pod wpływem warunków atmosferycznych i czynników mechanicznych. Dla usuniętych odpadów niebezpiecznych zawierających azbest oraz ich transportu na składowisko odpadów niebezpiecznych, wypełnia się:</w:t>
      </w:r>
    </w:p>
    <w:p>
      <w:pPr>
        <w:pStyle w:val="Normal"/>
        <w:numPr>
          <w:ilvl w:val="0"/>
          <w:numId w:val="17"/>
        </w:numPr>
        <w:spacing w:lineRule="auto" w:line="360" w:before="0" w:after="0"/>
        <w:jc w:val="both"/>
        <w:rPr>
          <w:rFonts w:ascii="Arial" w:hAnsi="Arial" w:cs="Arial"/>
        </w:rPr>
      </w:pPr>
      <w:r>
        <w:rPr>
          <w:rFonts w:cs="Arial" w:ascii="Arial" w:hAnsi="Arial"/>
        </w:rPr>
        <w:t>kartę ewidencji odpadu (załącznik nr 5),</w:t>
      </w:r>
    </w:p>
    <w:p>
      <w:pPr>
        <w:pStyle w:val="Normal"/>
        <w:numPr>
          <w:ilvl w:val="0"/>
          <w:numId w:val="17"/>
        </w:numPr>
        <w:spacing w:lineRule="auto" w:line="360" w:before="0" w:after="0"/>
        <w:jc w:val="both"/>
        <w:rPr>
          <w:rFonts w:ascii="Arial" w:hAnsi="Arial" w:cs="Arial"/>
        </w:rPr>
      </w:pPr>
      <w:r>
        <w:rPr>
          <w:rFonts w:cs="Arial" w:ascii="Arial" w:hAnsi="Arial"/>
        </w:rPr>
        <w:t>kartę przekazania odpadów (załącznik nr 6).</w:t>
      </w:r>
    </w:p>
    <w:p>
      <w:pPr>
        <w:pStyle w:val="Normal"/>
        <w:spacing w:lineRule="auto" w:line="360" w:before="0" w:after="0"/>
        <w:ind w:firstLine="709"/>
        <w:jc w:val="both"/>
        <w:rPr>
          <w:rFonts w:ascii="Arial" w:hAnsi="Arial" w:cs="Arial"/>
        </w:rPr>
      </w:pPr>
      <w:r>
        <w:rPr>
          <w:rFonts w:cs="Arial" w:ascii="Arial" w:hAnsi="Arial"/>
        </w:rPr>
        <w:t>Po zakończeniu prac polegających na usuwaniu wyrobów zawierających azbest– wytwarzaniu odpadów niebezpiecznych – wykonawca prac ma obowiązek dokonania prawidłowego oczyszczenia strefy prac i otoczenia z pozostałości azbestu. Oczyszczenie powinno nastąpić przez zastosowanie urządzeń filtracyjno-wentylacyjnych z wysoko skutecznym filtrem (99,99%) lub na mokro. Wykonawca prac ma obowiązek przedstawienia właścicielowi lub zarządcy obiektu, będącego przedmiotem prac, oświadczenia stwierdzającego prawidłowość wykonania prac i oczyszczenia z azbestu. W przypadku, kiedy przedmiotem prac były wyroby o gęstości objętościowej mniejszej niż 1000kg/m</w:t>
      </w:r>
      <w:r>
        <w:rPr>
          <w:rFonts w:cs="Arial" w:ascii="Arial" w:hAnsi="Arial"/>
          <w:vertAlign w:val="superscript"/>
        </w:rPr>
        <w:t>3</w:t>
      </w:r>
      <w:r>
        <w:rPr>
          <w:rFonts w:cs="Arial" w:ascii="Arial" w:hAnsi="Arial"/>
        </w:rPr>
        <w:t>lub wyroby mocno uszkodzone i zniszczone lub prace obejmowały wyroby zawierające azbest krokidolit lub prowadzone były w pomieszczeniach zamkniętych, wykonawca prac ma obowiązek przedstawienia wyników badania powietrza, przeprowadzonego przez uprawnione do tego laboratorium lub instytucję.</w:t>
      </w:r>
    </w:p>
    <w:p>
      <w:pPr>
        <w:pStyle w:val="Normal"/>
        <w:spacing w:lineRule="auto" w:line="360" w:before="0" w:after="0"/>
        <w:ind w:firstLine="709"/>
        <w:jc w:val="both"/>
        <w:rPr>
          <w:rFonts w:ascii="Arial" w:hAnsi="Arial" w:cs="Arial"/>
        </w:rPr>
      </w:pPr>
      <w:r>
        <w:rPr>
          <w:rFonts w:cs="Arial" w:ascii="Arial" w:hAnsi="Arial"/>
        </w:rPr>
      </w:r>
    </w:p>
    <w:p>
      <w:pPr>
        <w:pStyle w:val="Nagwek2"/>
        <w:jc w:val="both"/>
        <w:rPr/>
      </w:pPr>
      <w:bookmarkStart w:id="54" w:name="_Toc332200565"/>
      <w:bookmarkStart w:id="55" w:name="_Toc335395345"/>
      <w:bookmarkStart w:id="56" w:name="_Toc20296870"/>
      <w:r>
        <w:rPr/>
        <w:t>3.6. Zasady postępowania przy transporcie odpadów zawierających azbest</w:t>
      </w:r>
      <w:bookmarkEnd w:id="54"/>
      <w:bookmarkEnd w:id="55"/>
      <w:bookmarkEnd w:id="56"/>
    </w:p>
    <w:p>
      <w:pPr>
        <w:pStyle w:val="Normal"/>
        <w:spacing w:before="0" w:after="0"/>
        <w:rPr>
          <w:rFonts w:ascii="Arial" w:hAnsi="Arial" w:cs="Arial"/>
          <w:b/>
          <w:b/>
        </w:rPr>
      </w:pPr>
      <w:r>
        <w:rPr>
          <w:rFonts w:cs="Arial" w:ascii="Arial" w:hAnsi="Arial"/>
          <w:b/>
        </w:rPr>
      </w:r>
    </w:p>
    <w:p>
      <w:pPr>
        <w:pStyle w:val="Normal"/>
        <w:spacing w:lineRule="auto" w:line="360" w:before="0" w:after="0"/>
        <w:jc w:val="both"/>
        <w:rPr>
          <w:rFonts w:ascii="Arial" w:hAnsi="Arial" w:cs="Arial"/>
        </w:rPr>
      </w:pPr>
      <w:r>
        <w:rPr>
          <w:rFonts w:cs="Arial" w:ascii="Arial" w:hAnsi="Arial"/>
          <w:b/>
        </w:rPr>
        <w:t xml:space="preserve">Procedura 5. </w:t>
      </w:r>
      <w:r>
        <w:rPr>
          <w:rFonts w:cs="Arial" w:ascii="Arial" w:hAnsi="Arial"/>
        </w:rPr>
        <w:t>Przygotowanie i transport odpadów niebezpiecznych zawierających azbest.</w:t>
      </w:r>
    </w:p>
    <w:p>
      <w:pPr>
        <w:pStyle w:val="Normal"/>
        <w:spacing w:lineRule="auto" w:line="360" w:before="0" w:after="0"/>
        <w:jc w:val="both"/>
        <w:rPr>
          <w:rFonts w:ascii="Arial" w:hAnsi="Arial" w:cs="Arial"/>
        </w:rPr>
      </w:pPr>
      <w:r>
        <w:rPr>
          <w:rFonts w:cs="Arial" w:ascii="Arial" w:hAnsi="Arial"/>
        </w:rPr>
        <w:t>Zakres postępowania obejmuje działania począwszy od uzyskania zezwolenia na transport odpadów niebezpiecznych zawierających azbest, poprzez pozostałe czynności i obowiązki transportującego takie odpady – aż do ich przekazania na składowisko odpadów, przeznaczone do wyłącznego składowania odpadów zawierających azbest.</w:t>
      </w:r>
    </w:p>
    <w:p>
      <w:pPr>
        <w:pStyle w:val="Normal"/>
        <w:spacing w:lineRule="auto" w:line="360" w:before="0" w:after="0"/>
        <w:jc w:val="both"/>
        <w:rPr>
          <w:rFonts w:ascii="Arial" w:hAnsi="Arial" w:cs="Arial"/>
        </w:rPr>
      </w:pPr>
      <w:r>
        <w:rPr>
          <w:rFonts w:cs="Arial" w:ascii="Arial" w:hAnsi="Arial"/>
        </w:rPr>
      </w:r>
    </w:p>
    <w:p>
      <w:pPr>
        <w:pStyle w:val="Normal"/>
        <w:spacing w:lineRule="auto" w:line="360" w:before="0" w:after="0"/>
        <w:jc w:val="both"/>
        <w:rPr>
          <w:rFonts w:ascii="Arial" w:hAnsi="Arial" w:cs="Arial"/>
        </w:rPr>
      </w:pPr>
      <w:r>
        <w:rPr>
          <w:rFonts w:cs="Arial" w:ascii="Arial" w:hAnsi="Arial"/>
        </w:rPr>
      </w:r>
    </w:p>
    <w:p>
      <w:pPr>
        <w:pStyle w:val="Normal"/>
        <w:spacing w:lineRule="auto" w:line="360" w:before="0" w:after="0"/>
        <w:jc w:val="both"/>
        <w:rPr>
          <w:rFonts w:ascii="Arial" w:hAnsi="Arial" w:cs="Arial"/>
        </w:rPr>
      </w:pPr>
      <w:r>
        <w:rPr>
          <w:rFonts w:cs="Arial" w:ascii="Arial" w:hAnsi="Arial"/>
        </w:rPr>
      </w:r>
    </w:p>
    <w:p>
      <w:pPr>
        <w:pStyle w:val="Normal"/>
        <w:spacing w:lineRule="auto" w:line="360" w:before="0" w:after="0"/>
        <w:jc w:val="both"/>
        <w:rPr>
          <w:rFonts w:ascii="Arial" w:hAnsi="Arial" w:cs="Arial"/>
        </w:rPr>
      </w:pPr>
      <w:r>
        <w:rPr>
          <w:rFonts w:cs="Arial" w:ascii="Arial" w:hAnsi="Arial"/>
        </w:rPr>
      </w:r>
    </w:p>
    <w:p>
      <w:pPr>
        <w:pStyle w:val="Normal"/>
        <w:spacing w:lineRule="auto" w:line="360" w:before="0" w:after="0"/>
        <w:jc w:val="both"/>
        <w:rPr>
          <w:rFonts w:ascii="Arial" w:hAnsi="Arial" w:cs="Arial"/>
        </w:rPr>
      </w:pPr>
      <w:r>
        <w:rPr>
          <w:rFonts w:cs="Arial" w:ascii="Arial" w:hAnsi="Arial"/>
        </w:rPr>
      </w:r>
    </w:p>
    <w:p>
      <w:pPr>
        <w:pStyle w:val="Normal"/>
        <w:spacing w:lineRule="auto" w:line="360" w:before="0" w:after="0"/>
        <w:jc w:val="both"/>
        <w:rPr>
          <w:rFonts w:ascii="Arial" w:hAnsi="Arial" w:cs="Arial"/>
        </w:rPr>
      </w:pPr>
      <w:r>
        <w:rPr>
          <w:rFonts w:cs="Arial" w:ascii="Arial" w:hAnsi="Arial"/>
        </w:rPr>
      </w:r>
    </w:p>
    <w:p>
      <w:pPr>
        <w:pStyle w:val="Normal"/>
        <w:spacing w:lineRule="auto" w:line="360" w:before="0" w:after="0"/>
        <w:jc w:val="both"/>
        <w:rPr>
          <w:rFonts w:ascii="Arial" w:hAnsi="Arial" w:cs="Arial"/>
        </w:rPr>
      </w:pPr>
      <w:r>
        <w:rPr>
          <w:rFonts w:cs="Arial" w:ascii="Arial" w:hAnsi="Arial"/>
        </w:rPr>
      </w:r>
    </w:p>
    <w:p>
      <w:pPr>
        <w:pStyle w:val="Normal"/>
        <w:spacing w:lineRule="auto" w:line="360" w:before="0" w:after="0"/>
        <w:jc w:val="both"/>
        <w:rPr>
          <w:rFonts w:ascii="Arial" w:hAnsi="Arial" w:cs="Arial"/>
        </w:rPr>
      </w:pPr>
      <w:r>
        <w:rPr>
          <w:rFonts w:cs="Arial" w:ascii="Arial" w:hAnsi="Arial"/>
        </w:rPr>
      </w:r>
    </w:p>
    <w:p>
      <w:pPr>
        <w:pStyle w:val="Normal"/>
        <w:jc w:val="both"/>
        <w:rPr>
          <w:rFonts w:ascii="Arial" w:hAnsi="Arial" w:cs="Arial"/>
          <w:sz w:val="20"/>
          <w:szCs w:val="20"/>
        </w:rPr>
      </w:pPr>
      <w:bookmarkStart w:id="57" w:name="_Toc42585060"/>
      <w:r>
        <w:rPr>
          <w:rFonts w:cs="Arial" w:ascii="Arial" w:hAnsi="Arial"/>
          <w:b/>
          <w:i/>
          <w:u w:val="single"/>
        </w:rPr>
        <w:t>P R O C E D U R A 5.</w:t>
      </w:r>
      <w:r>
        <w:rPr>
          <w:rFonts w:cs="Arial" w:ascii="Arial" w:hAnsi="Arial"/>
        </w:rPr>
        <w:t xml:space="preserve"> Przygotowanie i transport odpadów niebezpiecznych zawierających azbes</w:t>
      </w:r>
      <w:bookmarkEnd w:id="57"/>
      <w:r>
        <w:rPr>
          <w:rFonts w:cs="Arial" w:ascii="Arial" w:hAnsi="Arial"/>
        </w:rPr>
        <w:t>t.</w:t>
      </w:r>
    </w:p>
    <w:p>
      <w:pPr>
        <w:pStyle w:val="Normal"/>
        <w:jc w:val="both"/>
        <w:rPr>
          <w:rFonts w:ascii="Arial" w:hAnsi="Arial" w:cs="Arial"/>
          <w:sz w:val="20"/>
          <w:szCs w:val="20"/>
        </w:rPr>
      </w:pPr>
      <w:r>
        <w:rPr/>
        <w:drawing>
          <wp:inline distT="0" distB="0" distL="0" distR="0" wp14:anchorId="02D929A0">
            <wp:extent cx="6374765" cy="6860540"/>
            <wp:effectExtent l="0" t="38100" r="28575" b="95250"/>
            <wp:docPr id="10" name="Diagram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p>
      <w:pPr>
        <w:pStyle w:val="BodyText2"/>
        <w:spacing w:lineRule="auto" w:line="360" w:before="0" w:after="0"/>
        <w:ind w:firstLine="708"/>
        <w:jc w:val="both"/>
        <w:rPr>
          <w:rFonts w:ascii="Arial" w:hAnsi="Arial" w:cs="Arial"/>
          <w:sz w:val="22"/>
          <w:szCs w:val="22"/>
        </w:rPr>
      </w:pPr>
      <w:r>
        <w:rPr>
          <w:rFonts w:cs="Arial" w:ascii="Arial" w:hAnsi="Arial"/>
          <w:sz w:val="22"/>
          <w:szCs w:val="22"/>
        </w:rPr>
        <w:t>Posiadacz odpadów, który prowadzi działalność w zakresie zbierania odpadów jest obowiązany uzyskać zezwolenie na prowadzenie tej działalności. Zezwolenie na prowadzenie działalności w zakresie zbierania odpadów wydaje starosta właściwy ze względu na miejsce siedziby lub zamieszkania podmiotu – po zasięgnięciu opinii właściwego wójta, burmistrza lub prezydenta miasta oraz dla obszarów zamkniętych Regionalna Dyrekcja Ochrony Środowiska.</w:t>
      </w:r>
    </w:p>
    <w:p>
      <w:pPr>
        <w:pStyle w:val="Normal"/>
        <w:spacing w:lineRule="auto" w:line="360" w:before="0" w:after="0"/>
        <w:ind w:firstLine="708"/>
        <w:jc w:val="both"/>
        <w:rPr>
          <w:rFonts w:ascii="Arial" w:hAnsi="Arial" w:cs="Arial"/>
        </w:rPr>
      </w:pPr>
      <w:r>
        <w:rPr>
          <w:rFonts w:cs="Arial" w:ascii="Arial" w:hAnsi="Arial"/>
        </w:rPr>
        <w:t xml:space="preserve">Zezwolenie na prowadzenie działalności w zakresie zbierania  odpadów (art. 41 ust. 1 </w:t>
      </w:r>
      <w:r>
        <w:rPr>
          <w:rFonts w:cs="Arial" w:ascii="Arial" w:hAnsi="Arial"/>
          <w:i/>
        </w:rPr>
        <w:t>Ustawy z dnia 14 grudnia 2012 r. o odpadach (tj. Dz.U. 2019 poz. 701, z późn.zm.)</w:t>
      </w:r>
      <w:r>
        <w:rPr>
          <w:rFonts w:cs="Arial" w:ascii="Arial" w:hAnsi="Arial"/>
        </w:rPr>
        <w:t xml:space="preserve"> wydaje się w drodze decyzji na wniosek, na czas oznaczony nie dłuższy niż 10 lat.</w:t>
      </w:r>
    </w:p>
    <w:p>
      <w:pPr>
        <w:pStyle w:val="Normal"/>
        <w:spacing w:lineRule="auto" w:line="360" w:before="0" w:after="0"/>
        <w:ind w:firstLine="709"/>
        <w:jc w:val="both"/>
        <w:rPr>
          <w:rFonts w:ascii="Arial" w:hAnsi="Arial" w:cs="Arial"/>
        </w:rPr>
      </w:pPr>
      <w:r>
        <w:rPr>
          <w:rFonts w:cs="Arial" w:ascii="Arial" w:hAnsi="Arial"/>
        </w:rPr>
        <w:t xml:space="preserve">Transportem odpadów niebezpiecznych zawierających azbest może zajmować się wytwórca odpadów lub inny, uprawniony do tego podmiot prawny. Podmioty transportujące odpady, których same nie wytworzyły muszą uzyskać wpis do </w:t>
      </w:r>
      <w:r>
        <w:rPr>
          <w:rFonts w:cs="Arial" w:ascii="Arial" w:hAnsi="Arial"/>
          <w:i/>
        </w:rPr>
        <w:t xml:space="preserve">Rejestru podmiotów wprowadzających produkty, produkty w opakowaniach i gospodarujących </w:t>
      </w:r>
      <w:r>
        <w:rPr>
          <w:rFonts w:cs="Arial" w:ascii="Arial" w:hAnsi="Arial"/>
        </w:rPr>
        <w:t>odpadami prowadzonego przez właściwy urząd marszałkowski.</w:t>
      </w:r>
      <w:r>
        <w:rPr>
          <w:rFonts w:cs="Arial" w:ascii="Arial" w:hAnsi="Arial"/>
          <w:i/>
        </w:rPr>
        <w:t xml:space="preserve">  </w:t>
      </w:r>
      <w:r>
        <w:rPr>
          <w:rFonts w:cs="Arial" w:ascii="Arial" w:hAnsi="Arial"/>
        </w:rPr>
        <w:t xml:space="preserve">Zgodnie z art. 51 ust. 2 pkt 4 </w:t>
      </w:r>
      <w:r>
        <w:rPr>
          <w:rFonts w:cs="Arial" w:ascii="Arial" w:hAnsi="Arial"/>
          <w:i/>
        </w:rPr>
        <w:t xml:space="preserve">Ustawy z dnia 14 grudnia 2012 r. o odpadach (tj. Dz.U. 2019 poz. 701, z późn.zm.) </w:t>
      </w:r>
      <w:r>
        <w:rPr>
          <w:rFonts w:cs="Arial" w:ascii="Arial" w:hAnsi="Arial"/>
        </w:rPr>
        <w:t>nie podlegają wpisowi do rejestru transportujący wytworzone przez siebie odpady,</w:t>
      </w:r>
    </w:p>
    <w:p>
      <w:pPr>
        <w:pStyle w:val="Normal"/>
        <w:spacing w:lineRule="auto" w:line="360" w:before="0" w:after="0"/>
        <w:ind w:firstLine="709"/>
        <w:jc w:val="both"/>
        <w:rPr>
          <w:rFonts w:ascii="Arial" w:hAnsi="Arial" w:cs="Arial"/>
        </w:rPr>
      </w:pPr>
      <w:r>
        <w:rPr>
          <w:rFonts w:cs="Arial" w:ascii="Arial" w:hAnsi="Arial"/>
        </w:rPr>
        <w:t>Przekazanie partii odpadów zawierających azbest przez wytwórcę odpadów innemu posiadaczowi odpadów niebezpiecznych, np. w celu ich dalszego transportu odbywa się</w:t>
        <w:br/>
        <w:t>z zastosowaniem karty przekazania odpadu – sporządzonej przez wytwórcę odpadów.</w:t>
      </w:r>
    </w:p>
    <w:p>
      <w:pPr>
        <w:pStyle w:val="Normal"/>
        <w:spacing w:lineRule="auto" w:line="360" w:before="0" w:after="0"/>
        <w:ind w:firstLine="708"/>
        <w:jc w:val="both"/>
        <w:rPr>
          <w:rFonts w:ascii="Arial" w:hAnsi="Arial" w:cs="Arial"/>
        </w:rPr>
      </w:pPr>
      <w:r>
        <w:rPr>
          <w:rFonts w:cs="Arial" w:ascii="Arial" w:hAnsi="Arial"/>
        </w:rPr>
        <w:t>Do obowiązków posiadacza odpadów niebezpiecznych prowadzącego działalność wyłącznie w zakresie ich transportu na składowisko należy:</w:t>
      </w:r>
    </w:p>
    <w:p>
      <w:pPr>
        <w:pStyle w:val="Normal"/>
        <w:numPr>
          <w:ilvl w:val="0"/>
          <w:numId w:val="20"/>
        </w:numPr>
        <w:spacing w:lineRule="auto" w:line="360" w:before="0" w:after="0"/>
        <w:jc w:val="both"/>
        <w:rPr>
          <w:rFonts w:ascii="Arial" w:hAnsi="Arial" w:cs="Arial"/>
        </w:rPr>
      </w:pPr>
      <w:r>
        <w:rPr>
          <w:rFonts w:cs="Arial" w:ascii="Arial" w:hAnsi="Arial"/>
        </w:rPr>
        <w:t xml:space="preserve">posiadanie karty przekazania odpadu z potwierdzeniem przejęcia odpadu, </w:t>
      </w:r>
    </w:p>
    <w:p>
      <w:pPr>
        <w:pStyle w:val="Normal"/>
        <w:numPr>
          <w:ilvl w:val="0"/>
          <w:numId w:val="21"/>
        </w:numPr>
        <w:spacing w:lineRule="auto" w:line="360" w:before="0" w:after="0"/>
        <w:jc w:val="both"/>
        <w:rPr>
          <w:rFonts w:ascii="Arial" w:hAnsi="Arial" w:cs="Arial"/>
        </w:rPr>
      </w:pPr>
      <w:r>
        <w:rPr>
          <w:rFonts w:cs="Arial" w:ascii="Arial" w:hAnsi="Arial"/>
        </w:rPr>
        <w:t>posiadanie dokumentu przewozowego z opisem towarów (odpadów) niebezpiecznych,</w:t>
      </w:r>
    </w:p>
    <w:p>
      <w:pPr>
        <w:pStyle w:val="Normal"/>
        <w:numPr>
          <w:ilvl w:val="0"/>
          <w:numId w:val="22"/>
        </w:numPr>
        <w:spacing w:lineRule="auto" w:line="360" w:before="0" w:after="0"/>
        <w:jc w:val="both"/>
        <w:rPr>
          <w:rFonts w:ascii="Arial" w:hAnsi="Arial" w:cs="Arial"/>
        </w:rPr>
      </w:pPr>
      <w:r>
        <w:rPr>
          <w:rFonts w:cs="Arial" w:ascii="Arial" w:hAnsi="Arial"/>
        </w:rPr>
        <w:t>posiadanie świadectwa dopuszczenia pojazdu do przewozu odpadów niebezpiecznych,</w:t>
      </w:r>
    </w:p>
    <w:p>
      <w:pPr>
        <w:pStyle w:val="Normal"/>
        <w:numPr>
          <w:ilvl w:val="0"/>
          <w:numId w:val="26"/>
        </w:numPr>
        <w:spacing w:lineRule="auto" w:line="360" w:before="0" w:after="0"/>
        <w:jc w:val="both"/>
        <w:rPr>
          <w:rFonts w:ascii="Arial" w:hAnsi="Arial" w:cs="Arial"/>
        </w:rPr>
      </w:pPr>
      <w:r>
        <w:rPr>
          <w:rFonts w:cs="Arial" w:ascii="Arial" w:hAnsi="Arial"/>
        </w:rPr>
        <w:t>posiadanie przez kierowcę zaświadczenia ADR o ukończeniu kursu dokształcającego dla kierowców pojazdów przewożących towary niebezpieczne,</w:t>
      </w:r>
    </w:p>
    <w:p>
      <w:pPr>
        <w:pStyle w:val="Normal"/>
        <w:numPr>
          <w:ilvl w:val="0"/>
          <w:numId w:val="23"/>
        </w:numPr>
        <w:spacing w:lineRule="auto" w:line="360" w:before="0" w:after="0"/>
        <w:jc w:val="both"/>
        <w:rPr>
          <w:rFonts w:ascii="Arial" w:hAnsi="Arial" w:cs="Arial"/>
        </w:rPr>
      </w:pPr>
      <w:r>
        <w:rPr>
          <w:rFonts w:cs="Arial" w:ascii="Arial" w:hAnsi="Arial"/>
        </w:rPr>
        <w:t>oznakowanie pojazdu odblaskowymi tablicami ostrzegawczymi,</w:t>
      </w:r>
    </w:p>
    <w:p>
      <w:pPr>
        <w:pStyle w:val="Normal"/>
        <w:numPr>
          <w:ilvl w:val="0"/>
          <w:numId w:val="24"/>
        </w:numPr>
        <w:spacing w:lineRule="auto" w:line="360" w:before="0" w:after="0"/>
        <w:ind w:left="357" w:hanging="357"/>
        <w:jc w:val="both"/>
        <w:rPr>
          <w:rFonts w:ascii="Arial" w:hAnsi="Arial" w:cs="Arial"/>
        </w:rPr>
      </w:pPr>
      <w:r>
        <w:rPr>
          <w:rFonts w:cs="Arial" w:ascii="Arial" w:hAnsi="Arial"/>
        </w:rPr>
        <w:t>utrzymanie czystości skrzyni ładunkowej pojazdu,</w:t>
      </w:r>
    </w:p>
    <w:p>
      <w:pPr>
        <w:pStyle w:val="Normal"/>
        <w:numPr>
          <w:ilvl w:val="0"/>
          <w:numId w:val="25"/>
        </w:numPr>
        <w:tabs>
          <w:tab w:val="left" w:pos="360" w:leader="none"/>
        </w:tabs>
        <w:spacing w:lineRule="auto" w:line="360" w:before="0" w:after="0"/>
        <w:ind w:left="0" w:hanging="0"/>
        <w:jc w:val="both"/>
        <w:rPr>
          <w:rFonts w:ascii="Arial" w:hAnsi="Arial" w:cs="Arial"/>
        </w:rPr>
      </w:pPr>
      <w:r>
        <w:rPr>
          <w:rFonts w:cs="Arial" w:ascii="Arial" w:hAnsi="Arial"/>
        </w:rPr>
        <w:t>sprawdzenie stanu opakowań i ich oznakowanie literą „a”, sprawdzenie umocowania ładunku z odpadami w pojeździe.</w:t>
      </w:r>
    </w:p>
    <w:p>
      <w:pPr>
        <w:pStyle w:val="Normal"/>
        <w:spacing w:lineRule="auto" w:line="360" w:before="0" w:after="0"/>
        <w:ind w:firstLine="709"/>
        <w:jc w:val="both"/>
        <w:rPr>
          <w:rFonts w:ascii="Arial" w:hAnsi="Arial" w:cs="Arial"/>
        </w:rPr>
      </w:pPr>
      <w:r>
        <w:rPr>
          <w:rFonts w:cs="Arial" w:ascii="Arial" w:hAnsi="Arial"/>
        </w:rPr>
        <w:t>Transport odpadów niebezpiecznych zawierających azbest, należy prowadzić                                z zachowaniem przepisów dotyczących transportu towarów niebezpiecznych spełniając określone w tych przepisach kryteria klasyfikacyjne.</w:t>
      </w:r>
    </w:p>
    <w:p>
      <w:pPr>
        <w:pStyle w:val="Normal"/>
        <w:spacing w:lineRule="auto" w:line="360" w:before="0" w:after="0"/>
        <w:ind w:firstLine="709"/>
        <w:jc w:val="both"/>
        <w:rPr>
          <w:rFonts w:ascii="Arial" w:hAnsi="Arial" w:cs="Arial"/>
        </w:rPr>
      </w:pPr>
      <w:r>
        <w:rPr>
          <w:rFonts w:cs="Arial" w:ascii="Arial" w:hAnsi="Arial"/>
        </w:rPr>
        <w:t xml:space="preserve">Odpady zawierające azbest pochodzące z budowy, remontu i demontażu obiektów budowlanych oraz odpady izolacyjne zawierające azbest, zgodnie z ADR zaliczone zostały do klasy 9 – różne materiały i przedmioty niebezpieczne, z czego wynikają określone wymagania przy transporcie. </w:t>
      </w:r>
    </w:p>
    <w:p>
      <w:pPr>
        <w:pStyle w:val="Normal"/>
        <w:spacing w:lineRule="auto" w:line="360"/>
        <w:ind w:firstLine="708"/>
        <w:jc w:val="both"/>
        <w:rPr>
          <w:rFonts w:ascii="Arial" w:hAnsi="Arial" w:cs="Arial"/>
        </w:rPr>
      </w:pPr>
      <w:r>
        <w:rPr>
          <w:rFonts w:cs="Arial" w:ascii="Arial" w:hAnsi="Arial"/>
        </w:rPr>
        <w:t>Posiadacz odpadów, dokonujący ich transportu, obowiązany jest do posiadania dokumentu przewozowego materiałów niebezpiecznych, który według ADR powinien zawierać:</w:t>
      </w:r>
    </w:p>
    <w:p>
      <w:pPr>
        <w:pStyle w:val="Normal"/>
        <w:numPr>
          <w:ilvl w:val="0"/>
          <w:numId w:val="19"/>
        </w:numPr>
        <w:spacing w:lineRule="auto" w:line="360" w:before="0" w:after="0"/>
        <w:jc w:val="both"/>
        <w:rPr>
          <w:rFonts w:ascii="Arial" w:hAnsi="Arial" w:cs="Arial"/>
        </w:rPr>
      </w:pPr>
      <w:r>
        <w:rPr>
          <w:rFonts w:cs="Arial" w:ascii="Arial" w:hAnsi="Arial"/>
        </w:rPr>
        <w:t>numer rozpoznawczy odpadu nadawanego do przewozu i jego pełną nazwę,</w:t>
      </w:r>
    </w:p>
    <w:p>
      <w:pPr>
        <w:pStyle w:val="Normal"/>
        <w:numPr>
          <w:ilvl w:val="0"/>
          <w:numId w:val="19"/>
        </w:numPr>
        <w:spacing w:lineRule="auto" w:line="360" w:before="0" w:after="0"/>
        <w:jc w:val="both"/>
        <w:rPr>
          <w:rFonts w:ascii="Arial" w:hAnsi="Arial" w:cs="Arial"/>
        </w:rPr>
      </w:pPr>
      <w:r>
        <w:rPr>
          <w:rFonts w:cs="Arial" w:ascii="Arial" w:hAnsi="Arial"/>
        </w:rPr>
        <w:t>klasę, do której należy odpad nadawany do przewozu,</w:t>
      </w:r>
    </w:p>
    <w:p>
      <w:pPr>
        <w:pStyle w:val="Normal"/>
        <w:numPr>
          <w:ilvl w:val="0"/>
          <w:numId w:val="19"/>
        </w:numPr>
        <w:spacing w:lineRule="auto" w:line="360" w:before="0" w:after="0"/>
        <w:ind w:left="714" w:hanging="357"/>
        <w:jc w:val="both"/>
        <w:rPr>
          <w:rFonts w:ascii="Arial" w:hAnsi="Arial" w:cs="Arial"/>
        </w:rPr>
      </w:pPr>
      <w:r>
        <w:rPr>
          <w:rFonts w:cs="Arial" w:ascii="Arial" w:hAnsi="Arial"/>
        </w:rPr>
        <w:t>liczbę sztuk przesyłki,</w:t>
      </w:r>
    </w:p>
    <w:p>
      <w:pPr>
        <w:pStyle w:val="Normal"/>
        <w:numPr>
          <w:ilvl w:val="0"/>
          <w:numId w:val="19"/>
        </w:numPr>
        <w:spacing w:lineRule="auto" w:line="360" w:before="0" w:after="0"/>
        <w:jc w:val="both"/>
        <w:rPr>
          <w:rFonts w:ascii="Arial" w:hAnsi="Arial" w:cs="Arial"/>
        </w:rPr>
      </w:pPr>
      <w:r>
        <w:rPr>
          <w:rFonts w:cs="Arial" w:ascii="Arial" w:hAnsi="Arial"/>
        </w:rPr>
        <w:t>całkowitą ilość przewożonych odpadów,</w:t>
      </w:r>
    </w:p>
    <w:p>
      <w:pPr>
        <w:pStyle w:val="Normal"/>
        <w:numPr>
          <w:ilvl w:val="0"/>
          <w:numId w:val="19"/>
        </w:numPr>
        <w:spacing w:lineRule="auto" w:line="360" w:before="0" w:after="0"/>
        <w:jc w:val="both"/>
        <w:rPr>
          <w:rFonts w:ascii="Arial" w:hAnsi="Arial" w:cs="Arial"/>
        </w:rPr>
      </w:pPr>
      <w:r>
        <w:rPr>
          <w:rFonts w:cs="Arial" w:ascii="Arial" w:hAnsi="Arial"/>
        </w:rPr>
        <w:t>nazwy i adresy nadawcy oraz odbiorcy przewożonych odpadów (składowiska).</w:t>
      </w:r>
    </w:p>
    <w:p>
      <w:pPr>
        <w:pStyle w:val="Normal"/>
        <w:spacing w:lineRule="auto" w:line="360" w:before="0" w:after="0"/>
        <w:ind w:firstLine="709"/>
        <w:jc w:val="both"/>
        <w:rPr>
          <w:rFonts w:ascii="Arial" w:hAnsi="Arial" w:cs="Arial"/>
        </w:rPr>
      </w:pPr>
      <w:r>
        <w:rPr>
          <w:rFonts w:cs="Arial" w:ascii="Arial" w:hAnsi="Arial"/>
        </w:rPr>
        <w:t>Do przewożenia odpadów zawierających azbest mogą być używane samochody ciężarowe z nadwoziem skrzyniowym, bez przyczepy lub z jedną przyczepą. Pojazdy przewożące odpady niebezpieczne powinny być zaopatrzone w świadectwo dopuszczenia pojazdu do przewozu towarów niebezpiecznych. Świadectwo to wystawiane jest przez Dyrektora Transportowego Dozoru Technicznego na podstawie badania technicznego pojazdu dokonanego przez okręgową stację kontroli pojazdów oraz sprawdzenia dokonanego przez Transportowy Dozór Techniczny. Kierowca wyznaczony do przewozu odpadów zawierających azbest, obowiązany jest posiadać – poza prawem jazdy – zaświadczenie ADR ukończenia kursu dokształcającego kierowców pojazdów przewożących towary niebezpieczne, wydane przez podmiot posiadający zezwolenie marszałka województwa na prowadzenie takiej działalności.</w:t>
      </w:r>
    </w:p>
    <w:p>
      <w:pPr>
        <w:pStyle w:val="BodyText2"/>
        <w:spacing w:lineRule="auto" w:line="360" w:before="0" w:after="0"/>
        <w:ind w:firstLine="709"/>
        <w:jc w:val="both"/>
        <w:rPr>
          <w:rFonts w:ascii="Arial" w:hAnsi="Arial" w:cs="Arial"/>
          <w:sz w:val="22"/>
          <w:szCs w:val="22"/>
        </w:rPr>
      </w:pPr>
      <w:r>
        <w:rPr>
          <w:rFonts w:cs="Arial" w:ascii="Arial" w:hAnsi="Arial"/>
          <w:sz w:val="22"/>
          <w:szCs w:val="22"/>
        </w:rPr>
        <w:t>Każdy pojazd przewożący odpady zawierające azbest powinien być oznakowany dwiema odblaskowymi tablicami ostrzegawczymi bez numerów rozpoznawczych. Tablice te powinny być prostokątne, o wymiarach 30x40 cm, barwy pomarańczowej odblaskowej, dookoła otoczone czarnym nieodblaskowym paskiem o szerokości nieprzekraczającej 15mm. Po wyładowaniu odpadów tablice te nie mogą być widoczne na pojeździe stojącym lub poruszającym się po drodze.</w:t>
      </w:r>
    </w:p>
    <w:p>
      <w:pPr>
        <w:pStyle w:val="BodyText2"/>
        <w:spacing w:lineRule="auto" w:line="360" w:before="0" w:after="0"/>
        <w:ind w:firstLine="709"/>
        <w:jc w:val="both"/>
        <w:rPr>
          <w:rFonts w:ascii="Arial" w:hAnsi="Arial" w:cs="Arial"/>
          <w:sz w:val="22"/>
          <w:szCs w:val="22"/>
        </w:rPr>
      </w:pPr>
      <w:r>
        <w:rPr>
          <w:rFonts w:cs="Arial" w:ascii="Arial" w:hAnsi="Arial"/>
          <w:sz w:val="22"/>
          <w:szCs w:val="22"/>
        </w:rPr>
        <w:t>Przed każdym załadunkiem odpadów, skrzynia ładunkowa pojazdu powinna być dokładnie oczyszczona, w szczególności z ostrych i twardych przedmiotów (np. gwoździ, śrub) niestanowiących integralnej części nadwozia pojazdu. Wskazane jest wyłożenie podłogi skrzyni ładunkowej folią, w celu zabezpieczenia przed uszkodzeniem opakowań. Załadunek i rozładunek odpadów (palet, pojemników typu big-bag) powinny odbywać się przy wykorzystaniu dźwigu lub podnośnika. Transportujący odpady powinien odmówić przyjęcia przesyłki odpadów, która nie posiada oznakowania wyrobów i odpadów zawierających azbest oraz w przypadku, gdy opakowanie zostało uszkodzone przy załadunku. Sztuki przesyłki z odpadami zawierającymi azbest powinny być ułożone i umocowane na pojeździe tak, aby w czasie ich przewozu nie przesuwały się oraz nie były narażone na tarcie, wstrząsy, przewracanie się i wypadnięcie z pojazdu. W trakcie przewozu ładunek powinien być dokładnie zabezpieczony folią lub plandeką przed uszkodzeniem.</w:t>
      </w:r>
    </w:p>
    <w:p>
      <w:pPr>
        <w:pStyle w:val="BodyText2"/>
        <w:spacing w:lineRule="auto" w:line="360" w:before="0" w:after="0"/>
        <w:ind w:firstLine="709"/>
        <w:jc w:val="both"/>
        <w:rPr>
          <w:rFonts w:ascii="Arial" w:hAnsi="Arial" w:cs="Arial"/>
          <w:sz w:val="22"/>
          <w:szCs w:val="22"/>
        </w:rPr>
      </w:pPr>
      <w:r>
        <w:rPr>
          <w:rFonts w:cs="Arial" w:ascii="Arial" w:hAnsi="Arial"/>
          <w:sz w:val="22"/>
          <w:szCs w:val="22"/>
        </w:rPr>
        <w:t xml:space="preserve">Po każdym wyładunku odpadów z pojazdu, należy dokładnie sprawdzić, czy na powierzchni skrzyni ładunkowej nie znajdują się pozostałości po przewożonych odpadach. </w:t>
        <w:br/>
        <w:t>W razie stwierdzenia takiej pozostałości należy niezwłocznie ją usunąć oraz dokładnie oczyścić pojazd i jego wyposażenie z zachowaniem zasad przewidzianych dla prac przy usuwaniu azbestu.</w:t>
      </w:r>
    </w:p>
    <w:p>
      <w:pPr>
        <w:pStyle w:val="Normal"/>
        <w:spacing w:lineRule="auto" w:line="360" w:before="0" w:after="0"/>
        <w:ind w:firstLine="709"/>
        <w:jc w:val="both"/>
        <w:rPr>
          <w:rFonts w:ascii="Arial" w:hAnsi="Arial" w:cs="Arial"/>
        </w:rPr>
      </w:pPr>
      <w:r>
        <w:rPr>
          <w:rFonts w:cs="Arial" w:ascii="Arial" w:hAnsi="Arial"/>
        </w:rPr>
        <w:t>Odpady niebezpieczne zawierające azbest transportowane są na składowisko przeznaczone do wyłącznego składowania odpadów zawierających azbest. Tam następuje ich przekazanie następnemu posiadaczowi odpadów – zarządzającemu składowiskiem</w:t>
        <w:br/>
        <w:t>potwierdzenie tego faktu na „Karcie przekazania odpadu”.</w:t>
      </w:r>
    </w:p>
    <w:p>
      <w:pPr>
        <w:pStyle w:val="ListParagraph"/>
        <w:numPr>
          <w:ilvl w:val="0"/>
          <w:numId w:val="18"/>
        </w:numPr>
        <w:rPr>
          <w:rFonts w:ascii="Arial" w:hAnsi="Arial" w:cs="Arial"/>
          <w:vanish/>
          <w:sz w:val="24"/>
          <w:szCs w:val="24"/>
        </w:rPr>
      </w:pPr>
      <w:r>
        <w:rPr>
          <w:rFonts w:cs="Arial" w:ascii="Arial" w:hAnsi="Arial"/>
          <w:vanish/>
          <w:sz w:val="24"/>
          <w:szCs w:val="24"/>
        </w:rPr>
      </w:r>
    </w:p>
    <w:p>
      <w:pPr>
        <w:pStyle w:val="ListParagraph"/>
        <w:numPr>
          <w:ilvl w:val="0"/>
          <w:numId w:val="18"/>
        </w:numPr>
        <w:rPr>
          <w:rFonts w:ascii="Arial" w:hAnsi="Arial" w:cs="Arial"/>
          <w:vanish/>
          <w:sz w:val="24"/>
          <w:szCs w:val="24"/>
        </w:rPr>
      </w:pPr>
      <w:r>
        <w:rPr>
          <w:rFonts w:cs="Arial" w:ascii="Arial" w:hAnsi="Arial"/>
          <w:vanish/>
          <w:sz w:val="24"/>
          <w:szCs w:val="24"/>
        </w:rPr>
      </w:r>
    </w:p>
    <w:p>
      <w:pPr>
        <w:pStyle w:val="ListParagraph"/>
        <w:numPr>
          <w:ilvl w:val="1"/>
          <w:numId w:val="18"/>
        </w:numPr>
        <w:rPr>
          <w:rFonts w:ascii="Arial" w:hAnsi="Arial" w:cs="Arial"/>
          <w:vanish/>
          <w:sz w:val="24"/>
          <w:szCs w:val="24"/>
        </w:rPr>
      </w:pPr>
      <w:r>
        <w:rPr>
          <w:rFonts w:cs="Arial" w:ascii="Arial" w:hAnsi="Arial"/>
          <w:vanish/>
          <w:sz w:val="24"/>
          <w:szCs w:val="24"/>
        </w:rPr>
      </w:r>
    </w:p>
    <w:p>
      <w:pPr>
        <w:pStyle w:val="ListParagraph"/>
        <w:numPr>
          <w:ilvl w:val="1"/>
          <w:numId w:val="18"/>
        </w:numPr>
        <w:rPr>
          <w:rFonts w:ascii="Arial" w:hAnsi="Arial" w:cs="Arial"/>
          <w:vanish/>
          <w:sz w:val="24"/>
          <w:szCs w:val="24"/>
        </w:rPr>
      </w:pPr>
      <w:r>
        <w:rPr>
          <w:rFonts w:cs="Arial" w:ascii="Arial" w:hAnsi="Arial"/>
          <w:vanish/>
          <w:sz w:val="24"/>
          <w:szCs w:val="24"/>
        </w:rPr>
      </w:r>
    </w:p>
    <w:p>
      <w:pPr>
        <w:pStyle w:val="ListParagraph"/>
        <w:numPr>
          <w:ilvl w:val="1"/>
          <w:numId w:val="18"/>
        </w:numPr>
        <w:rPr>
          <w:rFonts w:ascii="Arial" w:hAnsi="Arial" w:cs="Arial"/>
          <w:vanish/>
          <w:sz w:val="24"/>
          <w:szCs w:val="24"/>
        </w:rPr>
      </w:pPr>
      <w:r>
        <w:rPr>
          <w:rFonts w:cs="Arial" w:ascii="Arial" w:hAnsi="Arial"/>
          <w:vanish/>
          <w:sz w:val="24"/>
          <w:szCs w:val="24"/>
        </w:rPr>
      </w:r>
    </w:p>
    <w:p>
      <w:pPr>
        <w:pStyle w:val="ListParagraph"/>
        <w:numPr>
          <w:ilvl w:val="1"/>
          <w:numId w:val="18"/>
        </w:numPr>
        <w:rPr>
          <w:rFonts w:ascii="Arial" w:hAnsi="Arial" w:cs="Arial"/>
          <w:vanish/>
          <w:sz w:val="24"/>
          <w:szCs w:val="24"/>
        </w:rPr>
      </w:pPr>
      <w:r>
        <w:rPr>
          <w:rFonts w:cs="Arial" w:ascii="Arial" w:hAnsi="Arial"/>
          <w:vanish/>
          <w:sz w:val="24"/>
          <w:szCs w:val="24"/>
        </w:rPr>
      </w:r>
    </w:p>
    <w:p>
      <w:pPr>
        <w:pStyle w:val="ListParagraph"/>
        <w:numPr>
          <w:ilvl w:val="1"/>
          <w:numId w:val="18"/>
        </w:numPr>
        <w:rPr>
          <w:rFonts w:ascii="Arial" w:hAnsi="Arial" w:cs="Arial"/>
          <w:vanish/>
          <w:sz w:val="24"/>
          <w:szCs w:val="24"/>
        </w:rPr>
      </w:pPr>
      <w:r>
        <w:rPr>
          <w:rFonts w:cs="Arial" w:ascii="Arial" w:hAnsi="Arial"/>
          <w:vanish/>
          <w:sz w:val="24"/>
          <w:szCs w:val="24"/>
        </w:rPr>
      </w:r>
    </w:p>
    <w:p>
      <w:pPr>
        <w:pStyle w:val="ListParagraph"/>
        <w:numPr>
          <w:ilvl w:val="1"/>
          <w:numId w:val="18"/>
        </w:numPr>
        <w:rPr>
          <w:rFonts w:ascii="Arial" w:hAnsi="Arial" w:cs="Arial"/>
          <w:vanish/>
          <w:sz w:val="24"/>
          <w:szCs w:val="24"/>
        </w:rPr>
      </w:pPr>
      <w:r>
        <w:rPr>
          <w:rFonts w:cs="Arial" w:ascii="Arial" w:hAnsi="Arial"/>
          <w:vanish/>
          <w:sz w:val="24"/>
          <w:szCs w:val="24"/>
        </w:rPr>
      </w:r>
    </w:p>
    <w:p>
      <w:pPr>
        <w:pStyle w:val="Nagwek2"/>
        <w:jc w:val="both"/>
        <w:rPr/>
      </w:pPr>
      <w:bookmarkStart w:id="58" w:name="_Toc332200566"/>
      <w:bookmarkStart w:id="59" w:name="_Toc335395346"/>
      <w:bookmarkStart w:id="60" w:name="_Toc20296871"/>
      <w:r>
        <w:rPr/>
        <w:t>3.7. Zasady składowania odpadów zawierających azbest</w:t>
      </w:r>
      <w:bookmarkEnd w:id="58"/>
      <w:bookmarkEnd w:id="59"/>
      <w:bookmarkEnd w:id="60"/>
    </w:p>
    <w:p>
      <w:pPr>
        <w:pStyle w:val="ListParagraph"/>
        <w:ind w:left="792" w:hanging="0"/>
        <w:rPr>
          <w:rFonts w:ascii="Arial" w:hAnsi="Arial" w:cs="Arial"/>
          <w:b/>
          <w:b/>
        </w:rPr>
      </w:pPr>
      <w:r>
        <w:rPr>
          <w:rFonts w:cs="Arial" w:ascii="Arial" w:hAnsi="Arial"/>
          <w:b/>
        </w:rPr>
      </w:r>
    </w:p>
    <w:p>
      <w:pPr>
        <w:pStyle w:val="Normal"/>
        <w:spacing w:lineRule="auto" w:line="360" w:before="0" w:after="0"/>
        <w:ind w:firstLine="357"/>
        <w:jc w:val="both"/>
        <w:rPr>
          <w:rFonts w:ascii="Arial" w:hAnsi="Arial" w:cs="Arial"/>
        </w:rPr>
      </w:pPr>
      <w:r>
        <w:rPr>
          <w:rFonts w:cs="Arial" w:ascii="Arial" w:hAnsi="Arial"/>
          <w:b/>
        </w:rPr>
        <w:t xml:space="preserve">Procedura 6. </w:t>
      </w:r>
      <w:r>
        <w:rPr>
          <w:rFonts w:cs="Arial" w:ascii="Arial" w:hAnsi="Arial"/>
        </w:rPr>
        <w:t>Składowanie odpadów na składowiskach lub wydzielonych kwaterach przeznaczonych do wyłącznego składowania odpadów zawierających azbest.</w:t>
      </w:r>
    </w:p>
    <w:p>
      <w:pPr>
        <w:pStyle w:val="Normal"/>
        <w:spacing w:lineRule="auto" w:line="360" w:before="0" w:after="0"/>
        <w:ind w:firstLine="357"/>
        <w:rPr>
          <w:rFonts w:ascii="Arial" w:hAnsi="Arial" w:cs="Arial"/>
          <w:b/>
          <w:b/>
        </w:rPr>
      </w:pPr>
      <w:r>
        <w:rPr>
          <w:rFonts w:cs="Arial" w:ascii="Arial" w:hAnsi="Arial"/>
          <w:b/>
        </w:rPr>
      </w:r>
    </w:p>
    <w:p>
      <w:pPr>
        <w:pStyle w:val="Normal"/>
        <w:spacing w:lineRule="auto" w:line="360"/>
        <w:ind w:firstLine="709"/>
        <w:jc w:val="both"/>
        <w:rPr>
          <w:rFonts w:ascii="Arial" w:hAnsi="Arial" w:cs="Arial"/>
        </w:rPr>
      </w:pPr>
      <w:r>
        <w:rPr>
          <w:rFonts w:cs="Arial" w:ascii="Arial" w:hAnsi="Arial"/>
        </w:rPr>
        <w:t>Zakres procedury obejmuje działania począwszy od przyjęcia partii odpadów niebezpiecznych zawierających azbest na składowisko, poprzez dalsze czynności, aż do sporządzenia rocznego zbiorczego zestawienia danych o rodzaju i ilości przyjętych odpadów.</w:t>
      </w:r>
    </w:p>
    <w:p>
      <w:pPr>
        <w:pStyle w:val="Normal"/>
        <w:spacing w:lineRule="auto" w:line="360"/>
        <w:jc w:val="both"/>
        <w:rPr>
          <w:rFonts w:ascii="Arial" w:hAnsi="Arial" w:cs="Arial"/>
          <w:i/>
          <w:i/>
        </w:rPr>
      </w:pPr>
      <w:r>
        <w:rPr>
          <w:rFonts w:cs="Arial" w:ascii="Arial" w:hAnsi="Arial"/>
          <w:b/>
          <w:i/>
          <w:u w:val="single"/>
        </w:rPr>
        <w:t>P R O C E D U R A 6.</w:t>
      </w:r>
      <w:r>
        <w:rPr>
          <w:rFonts w:cs="Arial" w:ascii="Arial" w:hAnsi="Arial"/>
          <w:i/>
        </w:rPr>
        <w:t xml:space="preserve"> Składowanie odpadów na składowiskach lub w wydzielonych kwaterach przeznaczonych do wyłącznego składowania odpadów zawierających azbest. </w:t>
      </w:r>
    </w:p>
    <w:p>
      <w:pPr>
        <w:pStyle w:val="Normal"/>
        <w:rPr>
          <w:rFonts w:ascii="Arial" w:hAnsi="Arial" w:cs="Arial"/>
        </w:rPr>
      </w:pPr>
      <w:r>
        <w:rPr/>
        <w:drawing>
          <wp:inline distT="0" distB="0" distL="0" distR="0" wp14:anchorId="120D170D">
            <wp:extent cx="6032500" cy="2840990"/>
            <wp:effectExtent l="95250" t="0" r="85090" b="0"/>
            <wp:docPr id="11" name="Diagram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p>
    <w:p>
      <w:pPr>
        <w:pStyle w:val="Normal"/>
        <w:ind w:firstLine="708"/>
        <w:jc w:val="both"/>
        <w:rPr>
          <w:rFonts w:ascii="Arial" w:hAnsi="Arial" w:cs="Arial"/>
        </w:rPr>
      </w:pPr>
      <w:r>
        <w:rPr>
          <w:rFonts w:cs="Arial" w:ascii="Arial" w:hAnsi="Arial"/>
        </w:rPr>
        <w:t>Do obowiązków zarządzającego składowiskiem odpadów niebezpiecznych zwierających azbest należy:</w:t>
      </w:r>
    </w:p>
    <w:p>
      <w:pPr>
        <w:pStyle w:val="Normal"/>
        <w:numPr>
          <w:ilvl w:val="0"/>
          <w:numId w:val="27"/>
        </w:numPr>
        <w:spacing w:lineRule="auto" w:line="360" w:before="0" w:after="0"/>
        <w:jc w:val="both"/>
        <w:rPr>
          <w:rFonts w:ascii="Arial" w:hAnsi="Arial" w:cs="Arial"/>
        </w:rPr>
      </w:pPr>
      <w:r>
        <w:rPr>
          <w:rFonts w:cs="Arial" w:ascii="Arial" w:hAnsi="Arial"/>
        </w:rPr>
        <w:t>przeszkolenie pracowników w zakresie bezpiecznych metod postępowania z odpadami zawierającymi azbest,</w:t>
      </w:r>
    </w:p>
    <w:p>
      <w:pPr>
        <w:pStyle w:val="Normal"/>
        <w:numPr>
          <w:ilvl w:val="0"/>
          <w:numId w:val="27"/>
        </w:numPr>
        <w:spacing w:lineRule="auto" w:line="360" w:before="0" w:after="0"/>
        <w:jc w:val="both"/>
        <w:rPr>
          <w:rFonts w:ascii="Arial" w:hAnsi="Arial" w:cs="Arial"/>
        </w:rPr>
      </w:pPr>
      <w:r>
        <w:rPr>
          <w:rFonts w:cs="Arial" w:ascii="Arial" w:hAnsi="Arial"/>
        </w:rPr>
        <w:t>potwierdzenie w karcie przekazania odpadów przyjęcia partii odpadów na składowisko,</w:t>
      </w:r>
    </w:p>
    <w:p>
      <w:pPr>
        <w:pStyle w:val="Normal"/>
        <w:numPr>
          <w:ilvl w:val="0"/>
          <w:numId w:val="27"/>
        </w:numPr>
        <w:spacing w:lineRule="auto" w:line="360" w:before="0" w:after="0"/>
        <w:jc w:val="both"/>
        <w:rPr>
          <w:rFonts w:ascii="Arial" w:hAnsi="Arial" w:cs="Arial"/>
        </w:rPr>
      </w:pPr>
      <w:r>
        <w:rPr>
          <w:rFonts w:cs="Arial" w:ascii="Arial" w:hAnsi="Arial"/>
        </w:rPr>
        <w:t>sporządzenie zbiorczego zestawienia danych o rodzaju i ilości odpadów przyjętych na składowisko,</w:t>
      </w:r>
    </w:p>
    <w:p>
      <w:pPr>
        <w:pStyle w:val="Normal"/>
        <w:numPr>
          <w:ilvl w:val="0"/>
          <w:numId w:val="27"/>
        </w:numPr>
        <w:spacing w:lineRule="auto" w:line="360" w:before="0" w:after="0"/>
        <w:jc w:val="both"/>
        <w:rPr>
          <w:rFonts w:ascii="Arial" w:hAnsi="Arial" w:cs="Arial"/>
        </w:rPr>
      </w:pPr>
      <w:r>
        <w:rPr>
          <w:rFonts w:cs="Arial" w:ascii="Arial" w:hAnsi="Arial"/>
        </w:rPr>
        <w:t>składowanie odpadów zgodnie z przepisami dotyczącymi odpadów niebezpiecznych zawierających azbest oraz zatwierdzoną instrukcją eksploatacji składowiska,</w:t>
      </w:r>
    </w:p>
    <w:p>
      <w:pPr>
        <w:pStyle w:val="Normal"/>
        <w:numPr>
          <w:ilvl w:val="0"/>
          <w:numId w:val="27"/>
        </w:numPr>
        <w:spacing w:lineRule="auto" w:line="360" w:before="0" w:after="0"/>
        <w:jc w:val="both"/>
        <w:rPr>
          <w:rFonts w:ascii="Arial" w:hAnsi="Arial" w:cs="Arial"/>
        </w:rPr>
      </w:pPr>
      <w:r>
        <w:rPr>
          <w:rFonts w:cs="Arial" w:ascii="Arial" w:hAnsi="Arial"/>
        </w:rPr>
        <w:t>zapewnienie deponowania odpadów w sposób niepowodujący uszkodzenia opakowań odpadów,</w:t>
      </w:r>
    </w:p>
    <w:p>
      <w:pPr>
        <w:pStyle w:val="Normal"/>
        <w:numPr>
          <w:ilvl w:val="0"/>
          <w:numId w:val="27"/>
        </w:numPr>
        <w:spacing w:lineRule="auto" w:line="360" w:before="0" w:after="0"/>
        <w:jc w:val="both"/>
        <w:rPr>
          <w:rFonts w:ascii="Arial" w:hAnsi="Arial" w:cs="Arial"/>
        </w:rPr>
      </w:pPr>
      <w:r>
        <w:rPr>
          <w:rFonts w:cs="Arial" w:ascii="Arial" w:hAnsi="Arial"/>
        </w:rPr>
        <w:t>wykorzystywanie racjonalne pojemność eksploatacyjną składowiska.</w:t>
      </w:r>
    </w:p>
    <w:p>
      <w:pPr>
        <w:pStyle w:val="Normal"/>
        <w:spacing w:lineRule="auto" w:line="360" w:before="0" w:after="0"/>
        <w:ind w:firstLine="709"/>
        <w:jc w:val="both"/>
        <w:rPr>
          <w:rFonts w:ascii="Arial" w:hAnsi="Arial" w:cs="Arial"/>
        </w:rPr>
      </w:pPr>
      <w:r>
        <w:rPr>
          <w:rFonts w:cs="Arial" w:ascii="Arial" w:hAnsi="Arial"/>
        </w:rPr>
        <w:t>Odpady zawierające azbest pochodzące z budowy, remontu i demontażu obiektów budowlanych oraz infrastruktury drogowej oznaczone w katalogu odpadów kodami 17 06 01* i 17 06 05* mogą być unieszkodliwiane przez składowanie na składowiskach lub wydzielonych kwaterach na terenie innych składowisk, przeznaczonych do wyłącznego składowania tych odpadów.</w:t>
      </w:r>
    </w:p>
    <w:p>
      <w:pPr>
        <w:pStyle w:val="Normal"/>
        <w:spacing w:lineRule="auto" w:line="360" w:before="0" w:after="0"/>
        <w:jc w:val="both"/>
        <w:rPr>
          <w:rFonts w:ascii="Arial" w:hAnsi="Arial" w:cs="Arial"/>
        </w:rPr>
      </w:pPr>
      <w:r>
        <w:rPr>
          <w:rFonts w:cs="Arial" w:ascii="Arial" w:hAnsi="Arial"/>
        </w:rPr>
        <w:t>Składowiska lub kwatery buduje się w specjalnie wykonanych zagłębieniach terenu ze ścianami bocznymi zabezpieczonymi przed osypywaniem się.</w:t>
      </w:r>
    </w:p>
    <w:p>
      <w:pPr>
        <w:pStyle w:val="Normal"/>
        <w:spacing w:lineRule="auto" w:line="360" w:before="0" w:after="0"/>
        <w:ind w:firstLine="709"/>
        <w:jc w:val="both"/>
        <w:rPr>
          <w:rFonts w:ascii="Arial" w:hAnsi="Arial" w:cs="Arial"/>
        </w:rPr>
      </w:pPr>
      <w:r>
        <w:rPr>
          <w:rFonts w:cs="Arial" w:ascii="Arial" w:hAnsi="Arial"/>
        </w:rPr>
        <w:t xml:space="preserve">Zgodnie z art. 129 ust. 1 </w:t>
      </w:r>
      <w:r>
        <w:rPr>
          <w:rFonts w:cs="Arial" w:ascii="Arial" w:hAnsi="Arial"/>
          <w:i/>
        </w:rPr>
        <w:t xml:space="preserve">Ustawy z dnia 14 grudnia 2012 r. o odpadach ( tj. Dz.U. 2019 poz. 701, z późn. zm.) </w:t>
      </w:r>
      <w:r>
        <w:rPr>
          <w:rFonts w:cs="Arial" w:ascii="Arial" w:hAnsi="Arial"/>
        </w:rPr>
        <w:t xml:space="preserve">decyzję zatwierdzającą instrukcję prowadzenia składowiska odpadów wydaje, na wniosek zarządzającego składowiskiem, marszałek województwa, a w przypadku przedsięwzięć i zdarzeń na terenach zamkniętych – regionalny dyrektor ochrony środowiska. Kierownik składowiska powinien posiadać świadectwo stwierdzające kwalifikacje w zakresie gospodarowania odpadami oraz obowiązany jest do prowadzenia ewidencji ilości odpadów przyjmowanych na składowisko. </w:t>
      </w:r>
    </w:p>
    <w:p>
      <w:pPr>
        <w:pStyle w:val="Normal"/>
        <w:spacing w:lineRule="auto" w:line="360" w:before="0" w:after="0"/>
        <w:ind w:firstLine="708"/>
        <w:jc w:val="both"/>
        <w:rPr>
          <w:rFonts w:ascii="Arial" w:hAnsi="Arial" w:cs="Arial"/>
        </w:rPr>
      </w:pPr>
      <w:r>
        <w:rPr>
          <w:rFonts w:cs="Arial" w:ascii="Arial" w:hAnsi="Arial"/>
        </w:rPr>
        <w:t>Zarządzający składowiskiem pobiera od transportującego odpad zawierający azbest, opłatę za składowanie odpadów na składowisku.</w:t>
      </w:r>
    </w:p>
    <w:p>
      <w:pPr>
        <w:pStyle w:val="BodyText2"/>
        <w:spacing w:lineRule="auto" w:line="360" w:before="0" w:after="0"/>
        <w:ind w:firstLine="709"/>
        <w:jc w:val="both"/>
        <w:rPr>
          <w:rFonts w:ascii="Arial" w:hAnsi="Arial" w:cs="Arial"/>
          <w:sz w:val="22"/>
          <w:szCs w:val="22"/>
        </w:rPr>
      </w:pPr>
      <w:r>
        <w:rPr>
          <w:rFonts w:cs="Arial" w:ascii="Arial" w:hAnsi="Arial"/>
          <w:sz w:val="22"/>
          <w:szCs w:val="22"/>
        </w:rPr>
        <w:t>Zarządzający składowiskiem posiadającym wydzielone kwatery powinien zapewnić selektywne składowanie odpadów zawierających azbest, w izolacji od innych odpadów, a miejsce składowania powinno być oznakowane i zaznaczone na planie sytuacyjnym składowiska. Odpady powinny być deponowane na składowiskach zlokalizowanych na terenach oddalonych od budynków mieszkalnych i izolowanych pasem zieleni.</w:t>
      </w:r>
    </w:p>
    <w:p>
      <w:pPr>
        <w:pStyle w:val="Normal"/>
        <w:spacing w:lineRule="auto" w:line="360" w:before="0" w:after="0"/>
        <w:ind w:firstLine="709"/>
        <w:jc w:val="both"/>
        <w:rPr>
          <w:rFonts w:ascii="Arial" w:hAnsi="Arial" w:cs="Arial"/>
        </w:rPr>
      </w:pPr>
      <w:r>
        <w:rPr>
          <w:rFonts w:cs="Arial" w:ascii="Arial" w:hAnsi="Arial"/>
        </w:rPr>
        <w:t xml:space="preserve">Prace związane z deponowaniem odpadów zawierających azbest należy prowadzić </w:t>
        <w:br/>
        <w:t>w sposób zabezpieczający przed emisją pyłu azbestowego do powietrza, a podstawowym zadaniem jest niedopuszczenie do rozszczelnienia opakowań odpadów. Opakowania z odpadami należy zdejmować z pojazdu przy użyciu urządzeń dźwigowych i ostrożnie układać w kwaterze składowiska. Niedopuszczalne jest zrzucanie lub wysypywanie odpadów z samochodów. Warstwa zdeponowanych odpadów powinna być zabezpieczona przed uszkodzeniem opakowań przez przykrycie folią lub warstwą gruntu o grubości około 5 cm.</w:t>
      </w:r>
    </w:p>
    <w:p>
      <w:pPr>
        <w:pStyle w:val="Normal"/>
        <w:spacing w:lineRule="auto" w:line="360" w:before="0" w:after="0"/>
        <w:ind w:firstLine="709"/>
        <w:jc w:val="both"/>
        <w:rPr>
          <w:rFonts w:ascii="Arial" w:hAnsi="Arial" w:cs="Arial"/>
        </w:rPr>
      </w:pPr>
      <w:r>
        <w:rPr>
          <w:rFonts w:cs="Arial" w:ascii="Arial" w:hAnsi="Arial"/>
        </w:rPr>
        <w:t xml:space="preserve">Opakowania z odpadami powinny być układane zgodnie z technologią składowania zatwierdzoną w instrukcji eksploatacji składowiska, uwzględniającą racjonalne wykorzystanie pojemności obiektu. </w:t>
      </w:r>
    </w:p>
    <w:p>
      <w:pPr>
        <w:pStyle w:val="Normal"/>
        <w:spacing w:lineRule="auto" w:line="360" w:before="0" w:after="0"/>
        <w:ind w:firstLine="709"/>
        <w:jc w:val="both"/>
        <w:rPr>
          <w:rFonts w:ascii="Arial" w:hAnsi="Arial" w:cs="Arial"/>
        </w:rPr>
      </w:pPr>
      <w:r>
        <w:rPr>
          <w:rFonts w:cs="Arial" w:ascii="Arial" w:hAnsi="Arial"/>
        </w:rPr>
        <w:t>Niedopuszczalne jest kompaktowanie odpadów zawierających azbest, ani poruszanie się pojazdów mechanicznych po powierzchni składowanych odpadów.</w:t>
      </w:r>
    </w:p>
    <w:p>
      <w:pPr>
        <w:pStyle w:val="Normal"/>
        <w:spacing w:lineRule="auto" w:line="360" w:before="0" w:after="0"/>
        <w:ind w:firstLine="709"/>
        <w:jc w:val="both"/>
        <w:rPr>
          <w:rFonts w:ascii="Arial" w:hAnsi="Arial" w:cs="Arial"/>
        </w:rPr>
      </w:pPr>
      <w:r>
        <w:rPr>
          <w:rFonts w:cs="Arial" w:ascii="Arial" w:hAnsi="Arial"/>
        </w:rPr>
        <w:t xml:space="preserve">Po zakończeniu składowania odpadów zawierających azbest na poziomie 2 m poniżej terenu otoczenia i wypełnieniu gruntem do poziomu terenu, zarządzający składowiskiem powinien złożyć wniosek do właściwego organu w celu uzyskania zgody na zamknięcie składowiska lub jego wydzielonej części. </w:t>
      </w:r>
    </w:p>
    <w:p>
      <w:pPr>
        <w:pStyle w:val="Normal"/>
        <w:spacing w:lineRule="auto" w:line="360"/>
        <w:ind w:firstLine="708"/>
        <w:jc w:val="both"/>
        <w:rPr>
          <w:rFonts w:ascii="Arial" w:hAnsi="Arial" w:cs="Arial"/>
        </w:rPr>
      </w:pPr>
      <w:r>
        <w:rPr>
          <w:rFonts w:cs="Arial" w:ascii="Arial" w:hAnsi="Arial"/>
        </w:rPr>
        <w:t xml:space="preserve">Zgodnie z art. 146 ust. 2 ww. </w:t>
      </w:r>
      <w:r>
        <w:rPr>
          <w:rFonts w:cs="Arial" w:ascii="Arial" w:hAnsi="Arial"/>
          <w:i/>
        </w:rPr>
        <w:t xml:space="preserve">Ustawy z dnia 14 grudnia 2012 r. o odpadach ( tj. Dz.U. 2019 poz. 701, z późn. zm.) </w:t>
      </w:r>
      <w:r>
        <w:rPr>
          <w:rFonts w:cs="Arial" w:ascii="Arial" w:hAnsi="Arial"/>
        </w:rPr>
        <w:t>zgoda na zamknięcie składowiska odpadów lub jego wydzielonej części jest wydawana, w drodze decyzji, przez właściwy organ, o którym mowa w art. 129 ust. 1, na wniosek złożony przez zarządzającego składowiskiem odpadów.</w:t>
      </w:r>
    </w:p>
    <w:p>
      <w:pPr>
        <w:pStyle w:val="Nagwek2"/>
        <w:jc w:val="both"/>
        <w:rPr/>
      </w:pPr>
      <w:bookmarkStart w:id="61" w:name="_Toc20296872"/>
      <w:r>
        <w:rPr/>
        <w:t>3.8. Analiza oddziaływania „Programu…” na środowisko</w:t>
      </w:r>
      <w:bookmarkEnd w:id="61"/>
    </w:p>
    <w:p>
      <w:pPr>
        <w:pStyle w:val="Normal"/>
        <w:spacing w:before="0" w:after="0"/>
        <w:rPr/>
      </w:pPr>
      <w:r>
        <w:rPr/>
      </w:r>
    </w:p>
    <w:p>
      <w:pPr>
        <w:pStyle w:val="Normal"/>
        <w:spacing w:lineRule="auto" w:line="360" w:before="0" w:after="0"/>
        <w:ind w:firstLine="708"/>
        <w:jc w:val="both"/>
        <w:rPr>
          <w:rFonts w:ascii="Arial" w:hAnsi="Arial" w:cs="Arial"/>
        </w:rPr>
      </w:pPr>
      <w:r>
        <w:rPr>
          <w:rFonts w:cs="Arial" w:ascii="Arial" w:hAnsi="Arial"/>
        </w:rPr>
        <w:t xml:space="preserve">Konieczność opracowania niniejszego „Programu…” została podyktowana potrzebą wsparcia działań polegających na likwidacji znajdujących się na terenie gminy wyrobów zawierających azbest.  Należy mieć na uwadze fakt, że pomimo wprowadzenia zakazu stosowania azbestu, będzie on elementem struktury wielu obiektów jeszcze przez kolejne lata.  Bardzo ważne jest zastosowanie się właścicieli i zarządców obiektów budowlanych do obowiązku prowadzenia okresowych kontroli i oceny stanu technicznego wyrobów zawierających azbest oraz przekazywania właściwym jednostkom danych o ilości, stanie i miejscu występowania azbestu. </w:t>
      </w:r>
    </w:p>
    <w:p>
      <w:pPr>
        <w:pStyle w:val="Normal"/>
        <w:spacing w:lineRule="auto" w:line="360" w:before="0" w:after="0"/>
        <w:ind w:firstLine="708"/>
        <w:jc w:val="both"/>
        <w:rPr>
          <w:rFonts w:ascii="Arial" w:hAnsi="Arial" w:cs="Arial"/>
        </w:rPr>
      </w:pPr>
      <w:r>
        <w:rPr>
          <w:rFonts w:cs="Arial" w:ascii="Arial" w:hAnsi="Arial"/>
        </w:rPr>
        <w:t>Upowszechnienie „Programu…” będzie skutkowało podnoszeniem świadomości społeczności lokalnej w zakresie zagrożeń związanych z eksploatacją i usuwaniem azbestu, a także w istotny sposób zwiększy ilość unieszkodliwianych zgodnie z prawem odpadów azbestowych.</w:t>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ormal"/>
        <w:spacing w:lineRule="auto" w:line="240" w:before="0" w:after="0"/>
        <w:rPr>
          <w:rFonts w:ascii="Arial" w:hAnsi="Arial" w:cs="Arial"/>
          <w:color w:val="000000"/>
        </w:rPr>
      </w:pPr>
      <w:r>
        <w:rPr>
          <w:rFonts w:cs="Arial" w:ascii="Arial" w:hAnsi="Arial"/>
          <w:color w:val="000000"/>
        </w:rPr>
      </w:r>
    </w:p>
    <w:p>
      <w:pPr>
        <w:pStyle w:val="Nagwek1"/>
        <w:jc w:val="both"/>
        <w:rPr/>
      </w:pPr>
      <w:bookmarkStart w:id="62" w:name="_Toc20296873"/>
      <w:r>
        <w:rPr/>
        <w:t xml:space="preserve">4. ZADANIA JEDNOSTEK SAMORZĄDU TERYTORIALNEGO </w:t>
        <w:br/>
        <w:t>W ZAKRESIE USUWANIA AZBESTU</w:t>
      </w:r>
      <w:bookmarkEnd w:id="62"/>
    </w:p>
    <w:p>
      <w:pPr>
        <w:pStyle w:val="Normal"/>
        <w:jc w:val="both"/>
        <w:rPr>
          <w:rFonts w:ascii="Arial" w:hAnsi="Arial" w:cs="Arial"/>
          <w:b/>
          <w:b/>
        </w:rPr>
      </w:pPr>
      <w:r>
        <w:rPr>
          <w:rFonts w:cs="Arial" w:ascii="Arial" w:hAnsi="Arial"/>
          <w:b/>
        </w:rPr>
      </w:r>
    </w:p>
    <w:p>
      <w:pPr>
        <w:pStyle w:val="Nagwek2"/>
        <w:jc w:val="both"/>
        <w:rPr/>
      </w:pPr>
      <w:bookmarkStart w:id="63" w:name="_Toc20296874"/>
      <w:r>
        <w:rPr/>
        <w:t>4.1. Program Oczyszczania Kraju z Azbestu na lata 2009 – 2032</w:t>
      </w:r>
      <w:bookmarkEnd w:id="63"/>
    </w:p>
    <w:p>
      <w:pPr>
        <w:pStyle w:val="Normal"/>
        <w:rPr/>
      </w:pPr>
      <w:r>
        <w:rPr/>
      </w:r>
    </w:p>
    <w:p>
      <w:pPr>
        <w:pStyle w:val="Style15"/>
        <w:spacing w:lineRule="auto" w:line="360"/>
        <w:ind w:hanging="0"/>
        <w:rPr>
          <w:rStyle w:val="FontStyle115"/>
          <w:rFonts w:ascii="Arial" w:hAnsi="Arial" w:cs="Arial"/>
        </w:rPr>
      </w:pPr>
      <w:r>
        <w:rPr>
          <w:rStyle w:val="FontStyle115"/>
          <w:rFonts w:cs="Arial" w:ascii="Arial" w:hAnsi="Arial"/>
        </w:rPr>
        <w:t xml:space="preserve">Program Oczyszczania Kraju z Azbestu na lata 2009-2032 zwany dalej „Krajowy Program (…)”  przyjęty Uchwałą Nr 39/2010 Rady Ministrów z dnia 15 marca 2010 r.  </w:t>
      </w:r>
      <w:r>
        <w:rPr>
          <w:rStyle w:val="FontStyle116"/>
          <w:rFonts w:cs="Arial" w:ascii="Arial" w:hAnsi="Arial"/>
        </w:rPr>
        <w:t xml:space="preserve">jest kontynuacją i aktualizacją celów oraz działań ustalonych w </w:t>
      </w:r>
      <w:r>
        <w:rPr>
          <w:rStyle w:val="FontStyle115"/>
          <w:rFonts w:cs="Arial" w:ascii="Arial" w:hAnsi="Arial"/>
        </w:rPr>
        <w:t xml:space="preserve">Programie usuwania azbestu i wyrobów zawierających azbest stosowanych na terytorium Polski przyjętych przez Radę Ministrów Rzeczypospolitej Polski 14 maja 2002 r. </w:t>
      </w:r>
    </w:p>
    <w:p>
      <w:pPr>
        <w:pStyle w:val="Style15"/>
        <w:widowControl/>
        <w:spacing w:lineRule="auto" w:line="360" w:before="120" w:after="200"/>
        <w:ind w:firstLine="708"/>
        <w:rPr>
          <w:rStyle w:val="FontStyle116"/>
          <w:rFonts w:ascii="Arial" w:hAnsi="Arial" w:cs="Arial"/>
          <w:i/>
          <w:i/>
          <w:iCs/>
        </w:rPr>
      </w:pPr>
      <w:r>
        <w:rPr>
          <w:rStyle w:val="FontStyle115"/>
          <w:rFonts w:cs="Arial" w:ascii="Arial" w:hAnsi="Arial"/>
          <w:i w:val="false"/>
        </w:rPr>
        <w:t>Krajowy Program (…)</w:t>
      </w:r>
      <w:r>
        <w:rPr>
          <w:rStyle w:val="FontStyle115"/>
          <w:rFonts w:cs="Arial" w:ascii="Arial" w:hAnsi="Arial"/>
        </w:rPr>
        <w:t xml:space="preserve"> </w:t>
      </w:r>
      <w:r>
        <w:rPr>
          <w:rStyle w:val="FontStyle116"/>
          <w:rFonts w:cs="Arial" w:ascii="Arial" w:hAnsi="Arial"/>
        </w:rPr>
        <w:t>grupuje zadania przewidziane do realizacji na poziomie centralnym, wojewódzkim i lokalnym, w pięciu blokach tematycznych:</w:t>
      </w:r>
    </w:p>
    <w:p>
      <w:pPr>
        <w:pStyle w:val="Style17"/>
        <w:widowControl/>
        <w:numPr>
          <w:ilvl w:val="0"/>
          <w:numId w:val="45"/>
        </w:numPr>
        <w:tabs>
          <w:tab w:val="left" w:pos="360" w:leader="none"/>
        </w:tabs>
        <w:spacing w:lineRule="auto" w:line="360"/>
        <w:rPr>
          <w:rStyle w:val="FontStyle116"/>
          <w:rFonts w:ascii="Arial" w:hAnsi="Arial" w:cs="Arial"/>
        </w:rPr>
      </w:pPr>
      <w:r>
        <w:rPr>
          <w:rStyle w:val="FontStyle116"/>
          <w:rFonts w:cs="Arial" w:ascii="Arial" w:hAnsi="Arial"/>
        </w:rPr>
        <w:t>zadania legislacyjne;</w:t>
      </w:r>
    </w:p>
    <w:p>
      <w:pPr>
        <w:pStyle w:val="Style17"/>
        <w:widowControl/>
        <w:numPr>
          <w:ilvl w:val="0"/>
          <w:numId w:val="45"/>
        </w:numPr>
        <w:tabs>
          <w:tab w:val="left" w:pos="360" w:leader="none"/>
        </w:tabs>
        <w:spacing w:lineRule="auto" w:line="360"/>
        <w:rPr>
          <w:rStyle w:val="FontStyle116"/>
          <w:rFonts w:ascii="Arial" w:hAnsi="Arial" w:cs="Arial"/>
        </w:rPr>
      </w:pPr>
      <w:r>
        <w:rPr>
          <w:rStyle w:val="FontStyle116"/>
          <w:rFonts w:cs="Arial" w:ascii="Arial" w:hAnsi="Arial"/>
        </w:rPr>
        <w:t>działania edukacyjno-informacyjne skierowane do dzieci i młodzieży, szkolenia pracowników administracji rządowej i samorządowej, opracowywanie materiałów szkoleniowych, promocja technologii unicestwiania włókien azbestowych, organizacja krajowych i międzynarodowych szkoleń, seminariów, konferencji kongresów i udział w nich;</w:t>
      </w:r>
    </w:p>
    <w:p>
      <w:pPr>
        <w:pStyle w:val="Style17"/>
        <w:widowControl/>
        <w:numPr>
          <w:ilvl w:val="0"/>
          <w:numId w:val="45"/>
        </w:numPr>
        <w:tabs>
          <w:tab w:val="left" w:pos="360" w:leader="none"/>
        </w:tabs>
        <w:spacing w:lineRule="auto" w:line="360"/>
        <w:rPr>
          <w:rStyle w:val="FontStyle116"/>
          <w:rFonts w:ascii="Arial" w:hAnsi="Arial" w:cs="Arial"/>
        </w:rPr>
      </w:pPr>
      <w:r>
        <w:rPr>
          <w:rStyle w:val="FontStyle116"/>
          <w:rFonts w:cs="Arial" w:ascii="Arial" w:hAnsi="Arial"/>
        </w:rPr>
        <w:t>zadania w zakresie usuwania azbestu i wyrobów zawierających azbest z obiektów budowlanych, z obiektów użyteczności publicznej, terenów byłych producentów wyrobów azbestowych, oczyszczania terenów nieruchomości, budowy składowisk oraz instalacji do unicestwiania włókien azbestowych;</w:t>
      </w:r>
    </w:p>
    <w:p>
      <w:pPr>
        <w:pStyle w:val="Style17"/>
        <w:widowControl/>
        <w:numPr>
          <w:ilvl w:val="0"/>
          <w:numId w:val="45"/>
        </w:numPr>
        <w:tabs>
          <w:tab w:val="left" w:pos="360" w:leader="none"/>
        </w:tabs>
        <w:spacing w:lineRule="auto" w:line="360"/>
        <w:rPr>
          <w:rStyle w:val="FontStyle116"/>
          <w:rFonts w:ascii="Arial" w:hAnsi="Arial" w:cs="Arial"/>
        </w:rPr>
      </w:pPr>
      <w:r>
        <w:rPr>
          <w:rStyle w:val="FontStyle116"/>
          <w:rFonts w:cs="Arial" w:ascii="Arial" w:hAnsi="Arial"/>
        </w:rPr>
        <w:t xml:space="preserve">monitoring realizacji </w:t>
      </w:r>
      <w:r>
        <w:rPr>
          <w:rStyle w:val="FontStyle115"/>
          <w:rFonts w:cs="Arial" w:ascii="Arial" w:hAnsi="Arial"/>
        </w:rPr>
        <w:t xml:space="preserve">Programu </w:t>
      </w:r>
      <w:r>
        <w:rPr>
          <w:rStyle w:val="FontStyle116"/>
          <w:rFonts w:cs="Arial" w:ascii="Arial" w:hAnsi="Arial"/>
        </w:rPr>
        <w:t>przy pomocy elektronicznego systemu informacji przestrzennej;</w:t>
      </w:r>
    </w:p>
    <w:p>
      <w:pPr>
        <w:pStyle w:val="Style17"/>
        <w:widowControl/>
        <w:numPr>
          <w:ilvl w:val="0"/>
          <w:numId w:val="45"/>
        </w:numPr>
        <w:tabs>
          <w:tab w:val="left" w:pos="360" w:leader="none"/>
        </w:tabs>
        <w:spacing w:lineRule="auto" w:line="360" w:before="5" w:after="200"/>
        <w:rPr>
          <w:rStyle w:val="FontStyle116"/>
          <w:rFonts w:ascii="Arial" w:hAnsi="Arial" w:cs="Arial"/>
        </w:rPr>
      </w:pPr>
      <w:r>
        <w:rPr>
          <w:rStyle w:val="FontStyle116"/>
          <w:rFonts w:cs="Arial" w:ascii="Arial" w:hAnsi="Arial"/>
        </w:rPr>
        <w:t>działania w zakresie oceny narażenia i ochrony zdrowia.</w:t>
      </w:r>
    </w:p>
    <w:p>
      <w:pPr>
        <w:pStyle w:val="Style18"/>
        <w:widowControl/>
        <w:spacing w:lineRule="auto" w:line="360" w:before="115" w:after="200"/>
        <w:ind w:firstLine="708"/>
        <w:rPr>
          <w:rStyle w:val="FontStyle116"/>
          <w:rFonts w:ascii="Arial" w:hAnsi="Arial" w:cs="Arial"/>
        </w:rPr>
      </w:pPr>
      <w:r>
        <w:rPr>
          <w:rStyle w:val="FontStyle116"/>
          <w:rFonts w:cs="Arial" w:ascii="Arial" w:hAnsi="Arial"/>
        </w:rPr>
        <w:t>Szacuje się, że na terenie kraju nadal użytkowane jest ok. 14,5 mln ton wyrobów zawierających azbest (w latach 2003-2008 usunięto ok. 1 mln ton).</w:t>
      </w:r>
    </w:p>
    <w:p>
      <w:pPr>
        <w:pStyle w:val="Style18"/>
        <w:widowControl/>
        <w:spacing w:lineRule="auto" w:line="360" w:before="120" w:after="200"/>
        <w:ind w:firstLine="552"/>
        <w:rPr>
          <w:rStyle w:val="FontStyle116"/>
          <w:rFonts w:ascii="Arial" w:hAnsi="Arial" w:cs="Arial"/>
        </w:rPr>
      </w:pPr>
      <w:r>
        <w:rPr>
          <w:rStyle w:val="FontStyle116"/>
          <w:rFonts w:cs="Arial" w:ascii="Arial" w:hAnsi="Arial"/>
        </w:rPr>
        <w:t>Całkowity koszt realizacji Krajowego</w:t>
      </w:r>
      <w:r>
        <w:rPr>
          <w:rStyle w:val="FontStyle116"/>
          <w:rFonts w:cs="Arial" w:ascii="Arial" w:hAnsi="Arial"/>
          <w:i/>
        </w:rPr>
        <w:t xml:space="preserve"> </w:t>
      </w:r>
      <w:r>
        <w:rPr>
          <w:rStyle w:val="FontStyle115"/>
          <w:rFonts w:cs="Arial" w:ascii="Arial" w:hAnsi="Arial"/>
          <w:i w:val="false"/>
        </w:rPr>
        <w:t xml:space="preserve">Programu (…) </w:t>
      </w:r>
      <w:r>
        <w:rPr>
          <w:rStyle w:val="FontStyle116"/>
          <w:rFonts w:cs="Arial" w:ascii="Arial" w:hAnsi="Arial"/>
          <w:i/>
        </w:rPr>
        <w:t>w</w:t>
      </w:r>
      <w:r>
        <w:rPr>
          <w:rStyle w:val="FontStyle116"/>
          <w:rFonts w:cs="Arial" w:ascii="Arial" w:hAnsi="Arial"/>
        </w:rPr>
        <w:t xml:space="preserve"> latach 2009-2032 szacowany jest na kwotę ok. 40,4 mld zł, na którą składają się środki własne właścicieli nieruchomości, środki inwestorów, środki z budżetu państwa oraz środki jednostek samorządu terytorialnego.</w:t>
      </w:r>
    </w:p>
    <w:p>
      <w:pPr>
        <w:pStyle w:val="Style18"/>
        <w:widowControl/>
        <w:spacing w:lineRule="auto" w:line="360" w:before="53" w:after="200"/>
        <w:ind w:left="552" w:hanging="0"/>
        <w:rPr>
          <w:rStyle w:val="FontStyle116"/>
          <w:rFonts w:ascii="Arial" w:hAnsi="Arial" w:cs="Arial"/>
        </w:rPr>
      </w:pPr>
      <w:r>
        <w:rPr>
          <w:rStyle w:val="FontStyle116"/>
          <w:rFonts w:cs="Arial" w:ascii="Arial" w:hAnsi="Arial"/>
        </w:rPr>
        <w:t xml:space="preserve">Koszt realizacji Krajowego </w:t>
      </w:r>
      <w:r>
        <w:rPr>
          <w:rStyle w:val="FontStyle115"/>
          <w:rFonts w:cs="Arial" w:ascii="Arial" w:hAnsi="Arial"/>
          <w:i w:val="false"/>
        </w:rPr>
        <w:t>Programu</w:t>
      </w:r>
      <w:r>
        <w:rPr>
          <w:rStyle w:val="FontStyle115"/>
          <w:rFonts w:cs="Arial" w:ascii="Arial" w:hAnsi="Arial"/>
        </w:rPr>
        <w:t xml:space="preserve"> </w:t>
      </w:r>
      <w:r>
        <w:rPr>
          <w:rStyle w:val="FontStyle115"/>
          <w:rFonts w:cs="Arial" w:ascii="Arial" w:hAnsi="Arial"/>
          <w:i w:val="false"/>
        </w:rPr>
        <w:t xml:space="preserve">(…) </w:t>
      </w:r>
      <w:r>
        <w:rPr>
          <w:rStyle w:val="FontStyle116"/>
          <w:rFonts w:cs="Arial" w:ascii="Arial" w:hAnsi="Arial"/>
        </w:rPr>
        <w:t>oszacowano na podstawie następujących założeń:</w:t>
      </w:r>
    </w:p>
    <w:p>
      <w:pPr>
        <w:pStyle w:val="Style17"/>
        <w:widowControl/>
        <w:numPr>
          <w:ilvl w:val="0"/>
          <w:numId w:val="46"/>
        </w:numPr>
        <w:tabs>
          <w:tab w:val="left" w:pos="720" w:leader="none"/>
        </w:tabs>
        <w:spacing w:lineRule="auto" w:line="360" w:before="139" w:after="200"/>
        <w:ind w:left="720" w:hanging="0"/>
        <w:rPr>
          <w:rStyle w:val="FontStyle116"/>
          <w:rFonts w:ascii="Arial" w:hAnsi="Arial" w:cs="Arial"/>
        </w:rPr>
      </w:pPr>
      <w:r>
        <w:rPr>
          <w:rStyle w:val="FontStyle116"/>
          <w:rFonts w:cs="Arial" w:ascii="Arial" w:hAnsi="Arial"/>
        </w:rPr>
        <w:t>pozostało do usunięcia 14,5 mln ton wyrobów azbestowych, łączny koszt ich demontażu i transportu oraz unieszkodliwienia wytworzonych odpadów zawierających azbest szacuje się na kwotę ok. 40 mld zł,</w:t>
      </w:r>
    </w:p>
    <w:p>
      <w:pPr>
        <w:pStyle w:val="Style17"/>
        <w:widowControl/>
        <w:numPr>
          <w:ilvl w:val="0"/>
          <w:numId w:val="46"/>
        </w:numPr>
        <w:tabs>
          <w:tab w:val="left" w:pos="720" w:leader="none"/>
        </w:tabs>
        <w:spacing w:lineRule="auto" w:line="360" w:before="134" w:after="200"/>
        <w:ind w:left="720" w:hanging="0"/>
        <w:rPr>
          <w:rStyle w:val="FontStyle116"/>
          <w:rFonts w:ascii="Arial" w:hAnsi="Arial" w:cs="Arial"/>
        </w:rPr>
      </w:pPr>
      <w:r>
        <w:rPr>
          <w:rStyle w:val="FontStyle116"/>
          <w:rFonts w:cs="Arial" w:ascii="Arial" w:hAnsi="Arial"/>
        </w:rPr>
        <w:t>koszt budowy 56 składowisk odpadów lub kwater przystosowanych do składowania odpadów zawierających azbest oszacowano na kwotę ok. 260 mln zł,</w:t>
      </w:r>
    </w:p>
    <w:p>
      <w:pPr>
        <w:pStyle w:val="Style17"/>
        <w:widowControl/>
        <w:numPr>
          <w:ilvl w:val="0"/>
          <w:numId w:val="46"/>
        </w:numPr>
        <w:tabs>
          <w:tab w:val="left" w:pos="720" w:leader="none"/>
        </w:tabs>
        <w:spacing w:lineRule="auto" w:line="360" w:before="139" w:after="200"/>
        <w:ind w:left="720" w:hanging="0"/>
        <w:rPr>
          <w:rStyle w:val="FontStyle116"/>
          <w:rFonts w:ascii="Arial" w:hAnsi="Arial" w:cs="Arial"/>
        </w:rPr>
      </w:pPr>
      <w:r>
        <w:rPr>
          <w:rStyle w:val="FontStyle116"/>
          <w:rFonts w:cs="Arial" w:ascii="Arial" w:hAnsi="Arial"/>
        </w:rPr>
        <w:t xml:space="preserve">pozostające w dyspozycji Ministra Gospodarki środki finansowe z budżetu państwa, przeznaczone na wspieranie: opracowania planów usuwania wyrobów zawierających azbest, działań edukacyjno-informacyjnych oraz monitoringu </w:t>
      </w:r>
      <w:r>
        <w:rPr>
          <w:rStyle w:val="FontStyle115"/>
          <w:rFonts w:cs="Arial" w:ascii="Arial" w:hAnsi="Arial"/>
        </w:rPr>
        <w:t xml:space="preserve">Programu </w:t>
      </w:r>
      <w:r>
        <w:rPr>
          <w:rStyle w:val="FontStyle116"/>
          <w:rFonts w:cs="Arial" w:ascii="Arial" w:hAnsi="Arial"/>
        </w:rPr>
        <w:t>określa kwota 53,2 mln zł (0,13%),</w:t>
      </w:r>
    </w:p>
    <w:p>
      <w:pPr>
        <w:pStyle w:val="Style17"/>
        <w:widowControl/>
        <w:numPr>
          <w:ilvl w:val="0"/>
          <w:numId w:val="46"/>
        </w:numPr>
        <w:tabs>
          <w:tab w:val="left" w:pos="720" w:leader="none"/>
        </w:tabs>
        <w:spacing w:lineRule="auto" w:line="360" w:before="130" w:after="200"/>
        <w:ind w:left="720" w:hanging="0"/>
        <w:rPr>
          <w:rStyle w:val="FontStyle116"/>
          <w:rFonts w:ascii="Arial" w:hAnsi="Arial" w:cs="Arial"/>
        </w:rPr>
      </w:pPr>
      <w:r>
        <w:rPr>
          <w:rStyle w:val="FontStyle116"/>
          <w:rFonts w:cs="Arial" w:ascii="Arial" w:hAnsi="Arial"/>
        </w:rPr>
        <w:t>środki finansowe jednostek samorządu terytorialnego przewidywane na opracowywanie i aktualizację planów usuwania wyrobów zawierających azbest oraz działania edukacyjno-informacyjne szacuje się na kwotę ok. 40 mln zł (0,10%).</w:t>
      </w:r>
    </w:p>
    <w:p>
      <w:pPr>
        <w:pStyle w:val="Style17"/>
        <w:widowControl/>
        <w:spacing w:lineRule="auto" w:line="360"/>
        <w:ind w:left="708" w:hanging="0"/>
        <w:rPr>
          <w:rStyle w:val="FontStyle78"/>
          <w:rFonts w:ascii="Arial" w:hAnsi="Arial" w:cs="Arial"/>
          <w:sz w:val="22"/>
          <w:szCs w:val="22"/>
        </w:rPr>
      </w:pPr>
      <w:r>
        <w:rPr>
          <w:rFonts w:cs="Arial" w:ascii="Arial" w:hAnsi="Arial"/>
          <w:sz w:val="22"/>
          <w:szCs w:val="22"/>
        </w:rPr>
      </w:r>
    </w:p>
    <w:p>
      <w:pPr>
        <w:pStyle w:val="Style17"/>
        <w:widowControl/>
        <w:spacing w:lineRule="auto" w:line="360"/>
        <w:rPr>
          <w:rStyle w:val="FontStyle65"/>
          <w:rFonts w:ascii="Arial" w:hAnsi="Arial" w:cs="Arial"/>
          <w:i w:val="false"/>
          <w:i w:val="false"/>
          <w:sz w:val="22"/>
          <w:szCs w:val="22"/>
        </w:rPr>
      </w:pPr>
      <w:r>
        <w:rPr>
          <w:rStyle w:val="FontStyle78"/>
          <w:rFonts w:cs="Arial" w:ascii="Arial" w:hAnsi="Arial"/>
          <w:sz w:val="22"/>
          <w:szCs w:val="22"/>
        </w:rPr>
        <w:t xml:space="preserve">Zadania dla samorządów gminnych i powiatowych określone zostały w Krajowym Programie (…). </w:t>
      </w:r>
      <w:r>
        <w:rPr>
          <w:rStyle w:val="FontStyle65"/>
          <w:rFonts w:cs="Arial" w:ascii="Arial" w:hAnsi="Arial"/>
          <w:i w:val="false"/>
          <w:sz w:val="22"/>
          <w:szCs w:val="22"/>
        </w:rPr>
        <w:t xml:space="preserve">Na poziomie lokalnym zadania realizują samorządy gminne i powiatowe, poprzez: </w:t>
      </w:r>
    </w:p>
    <w:p>
      <w:pPr>
        <w:pStyle w:val="Style17"/>
        <w:widowControl/>
        <w:spacing w:lineRule="auto" w:line="360"/>
        <w:ind w:firstLine="709"/>
        <w:rPr>
          <w:rStyle w:val="FontStyle76"/>
          <w:rFonts w:ascii="Arial" w:hAnsi="Arial" w:cs="Arial"/>
          <w:b w:val="false"/>
          <w:b w:val="false"/>
          <w:bCs w:val="false"/>
          <w:sz w:val="22"/>
          <w:szCs w:val="22"/>
        </w:rPr>
      </w:pPr>
      <w:r>
        <w:rPr>
          <w:rFonts w:cs="Arial" w:ascii="Arial" w:hAnsi="Arial"/>
          <w:b w:val="false"/>
          <w:bCs w:val="false"/>
          <w:sz w:val="22"/>
          <w:szCs w:val="22"/>
        </w:rPr>
      </w:r>
    </w:p>
    <w:p>
      <w:pPr>
        <w:pStyle w:val="Style32"/>
        <w:widowControl/>
        <w:spacing w:lineRule="auto" w:line="360"/>
        <w:ind w:right="1613" w:hanging="0"/>
        <w:jc w:val="both"/>
        <w:rPr>
          <w:rStyle w:val="FontStyle76"/>
          <w:rFonts w:ascii="Arial" w:hAnsi="Arial" w:eastAsia="Arial Unicode MS" w:cs="Arial"/>
          <w:sz w:val="22"/>
          <w:szCs w:val="22"/>
        </w:rPr>
      </w:pPr>
      <w:r>
        <w:rPr>
          <w:rStyle w:val="FontStyle76"/>
          <w:rFonts w:eastAsia="Arial Unicode MS" w:cs="Arial" w:ascii="Arial" w:hAnsi="Arial"/>
          <w:sz w:val="22"/>
          <w:szCs w:val="22"/>
        </w:rPr>
        <w:t>Samorząd gminny:</w:t>
      </w:r>
    </w:p>
    <w:p>
      <w:pPr>
        <w:pStyle w:val="Style33"/>
        <w:widowControl/>
        <w:numPr>
          <w:ilvl w:val="0"/>
          <w:numId w:val="47"/>
        </w:numPr>
        <w:tabs>
          <w:tab w:val="left" w:pos="331" w:leader="none"/>
        </w:tabs>
        <w:spacing w:lineRule="auto" w:line="360"/>
        <w:ind w:left="331" w:hanging="0"/>
        <w:rPr>
          <w:rStyle w:val="FontStyle65"/>
          <w:rFonts w:ascii="Arial" w:hAnsi="Arial" w:cs="Arial"/>
          <w:i w:val="false"/>
          <w:i w:val="false"/>
          <w:iCs w:val="false"/>
          <w:sz w:val="22"/>
          <w:szCs w:val="22"/>
        </w:rPr>
      </w:pPr>
      <w:r>
        <w:rPr>
          <w:rStyle w:val="FontStyle65"/>
          <w:rFonts w:cs="Arial" w:ascii="Arial" w:hAnsi="Arial"/>
          <w:i w:val="false"/>
          <w:sz w:val="22"/>
          <w:szCs w:val="22"/>
        </w:rPr>
        <w:t xml:space="preserve">gromadzenie przez wójta, burmistrza, prezydenta miasta informacji o ilości, rodzaju </w:t>
        <w:br/>
        <w:t xml:space="preserve">i miejscach występowania wyrobów zawierających azbest oraz przekazywanie jej do marszałka województwa z wykorzystaniem dostępnego narzędzia informatycznego </w:t>
      </w:r>
      <w:r>
        <w:rPr>
          <w:rStyle w:val="FontStyle65"/>
          <w:rFonts w:cs="Arial" w:ascii="Arial" w:hAnsi="Arial"/>
          <w:i w:val="false"/>
          <w:iCs w:val="false"/>
          <w:sz w:val="22"/>
          <w:szCs w:val="22"/>
          <w:u w:val="single"/>
        </w:rPr>
        <w:t>www.bazaazbestowa.gov.pl</w:t>
      </w:r>
    </w:p>
    <w:p>
      <w:pPr>
        <w:pStyle w:val="Style33"/>
        <w:widowControl/>
        <w:numPr>
          <w:ilvl w:val="0"/>
          <w:numId w:val="47"/>
        </w:numPr>
        <w:tabs>
          <w:tab w:val="left" w:pos="331" w:leader="none"/>
        </w:tabs>
        <w:spacing w:lineRule="auto" w:line="360"/>
        <w:ind w:left="331" w:hanging="0"/>
        <w:rPr>
          <w:rStyle w:val="FontStyle65"/>
          <w:rFonts w:ascii="Arial" w:hAnsi="Arial" w:cs="Arial"/>
          <w:i w:val="false"/>
          <w:i w:val="false"/>
          <w:iCs w:val="false"/>
          <w:sz w:val="22"/>
          <w:szCs w:val="22"/>
        </w:rPr>
      </w:pPr>
      <w:r>
        <w:rPr>
          <w:rStyle w:val="FontStyle65"/>
          <w:rFonts w:cs="Arial" w:ascii="Arial" w:hAnsi="Arial"/>
          <w:i w:val="false"/>
          <w:sz w:val="22"/>
          <w:szCs w:val="22"/>
        </w:rPr>
        <w:t>przygotowywanie i aktualizacja programów usuwania azbestu i wyrobów zawierających azbest;</w:t>
      </w:r>
    </w:p>
    <w:p>
      <w:pPr>
        <w:pStyle w:val="Style33"/>
        <w:widowControl/>
        <w:numPr>
          <w:ilvl w:val="0"/>
          <w:numId w:val="47"/>
        </w:numPr>
        <w:tabs>
          <w:tab w:val="left" w:pos="331" w:leader="none"/>
        </w:tabs>
        <w:spacing w:lineRule="auto" w:line="360"/>
        <w:ind w:left="331" w:hanging="0"/>
        <w:rPr>
          <w:rStyle w:val="FontStyle65"/>
          <w:rFonts w:ascii="Arial" w:hAnsi="Arial" w:cs="Arial"/>
          <w:i w:val="false"/>
          <w:i w:val="false"/>
          <w:iCs w:val="false"/>
          <w:sz w:val="22"/>
          <w:szCs w:val="22"/>
        </w:rPr>
      </w:pPr>
      <w:r>
        <w:rPr>
          <w:rStyle w:val="FontStyle65"/>
          <w:rFonts w:cs="Arial" w:ascii="Arial" w:hAnsi="Arial"/>
          <w:i w:val="false"/>
          <w:sz w:val="22"/>
          <w:szCs w:val="22"/>
        </w:rPr>
        <w:t>organizowanie szkoleń lokalnych w zakresie usuwania wyrobów zawierających azbest z terenu nieruchomości bez korzystania z usług wyspecjalizowanych firm;</w:t>
      </w:r>
    </w:p>
    <w:p>
      <w:pPr>
        <w:pStyle w:val="Style33"/>
        <w:widowControl/>
        <w:numPr>
          <w:ilvl w:val="0"/>
          <w:numId w:val="47"/>
        </w:numPr>
        <w:tabs>
          <w:tab w:val="left" w:pos="331" w:leader="none"/>
        </w:tabs>
        <w:spacing w:lineRule="auto" w:line="360"/>
        <w:ind w:left="331" w:hanging="0"/>
        <w:rPr>
          <w:rStyle w:val="FontStyle65"/>
          <w:rFonts w:ascii="Arial" w:hAnsi="Arial" w:cs="Arial"/>
          <w:i w:val="false"/>
          <w:i w:val="false"/>
          <w:iCs w:val="false"/>
          <w:sz w:val="22"/>
          <w:szCs w:val="22"/>
        </w:rPr>
      </w:pPr>
      <w:r>
        <w:rPr>
          <w:rStyle w:val="FontStyle65"/>
          <w:rFonts w:cs="Arial" w:ascii="Arial" w:hAnsi="Arial"/>
          <w:i w:val="false"/>
          <w:sz w:val="22"/>
          <w:szCs w:val="22"/>
        </w:rPr>
        <w:t>organizowanie usuwania wyrobów zawierających azbest przy wykorzystaniu pozyskanych na ten cel środków krajowych lub unijnych z uwzględnieniem zasad zawartych w Programie;</w:t>
      </w:r>
    </w:p>
    <w:p>
      <w:pPr>
        <w:pStyle w:val="Style33"/>
        <w:widowControl/>
        <w:numPr>
          <w:ilvl w:val="0"/>
          <w:numId w:val="47"/>
        </w:numPr>
        <w:tabs>
          <w:tab w:val="left" w:pos="331" w:leader="none"/>
        </w:tabs>
        <w:spacing w:lineRule="auto" w:line="360"/>
        <w:ind w:left="331" w:hanging="0"/>
        <w:rPr>
          <w:rStyle w:val="FontStyle65"/>
          <w:rFonts w:ascii="Arial" w:hAnsi="Arial" w:cs="Arial"/>
          <w:i w:val="false"/>
          <w:i w:val="false"/>
          <w:iCs w:val="false"/>
          <w:sz w:val="22"/>
          <w:szCs w:val="22"/>
        </w:rPr>
      </w:pPr>
      <w:r>
        <w:rPr>
          <w:rStyle w:val="FontStyle65"/>
          <w:rFonts w:cs="Arial" w:ascii="Arial" w:hAnsi="Arial"/>
          <w:i w:val="false"/>
          <w:sz w:val="22"/>
          <w:szCs w:val="22"/>
        </w:rPr>
        <w:t>inspirowanie właściwej postawy obywateli w zakresie obowiązków związanych</w:t>
        <w:br/>
        <w:t>z usuwaniem wyrobów zawierających azbest;</w:t>
      </w:r>
    </w:p>
    <w:p>
      <w:pPr>
        <w:pStyle w:val="Style33"/>
        <w:widowControl/>
        <w:numPr>
          <w:ilvl w:val="0"/>
          <w:numId w:val="47"/>
        </w:numPr>
        <w:tabs>
          <w:tab w:val="left" w:pos="331" w:leader="none"/>
        </w:tabs>
        <w:spacing w:lineRule="auto" w:line="360"/>
        <w:ind w:left="331" w:hanging="0"/>
        <w:rPr>
          <w:rStyle w:val="FontStyle65"/>
          <w:rFonts w:ascii="Arial" w:hAnsi="Arial" w:cs="Arial"/>
          <w:i w:val="false"/>
          <w:i w:val="false"/>
          <w:iCs w:val="false"/>
          <w:sz w:val="22"/>
          <w:szCs w:val="22"/>
        </w:rPr>
      </w:pPr>
      <w:r>
        <w:rPr>
          <w:rStyle w:val="FontStyle65"/>
          <w:rFonts w:cs="Arial" w:ascii="Arial" w:hAnsi="Arial"/>
          <w:i w:val="false"/>
          <w:sz w:val="22"/>
          <w:szCs w:val="22"/>
        </w:rPr>
        <w:t>współpraca z marszałkiem województwa w zakresie inwentaryzacji wyrobów zawierających azbest oraz opracowywania programów usuwania wyrobów zawierających azbest, w szczególności w zakresie lokalizacji składowisk odpadów zawierających azbest oraz urządzeń przewoźnych do przetwarzania odpadów zawierających azbest;</w:t>
      </w:r>
    </w:p>
    <w:p>
      <w:pPr>
        <w:pStyle w:val="Style33"/>
        <w:widowControl/>
        <w:numPr>
          <w:ilvl w:val="0"/>
          <w:numId w:val="47"/>
        </w:numPr>
        <w:tabs>
          <w:tab w:val="left" w:pos="331" w:leader="none"/>
        </w:tabs>
        <w:spacing w:lineRule="auto" w:line="360"/>
        <w:ind w:left="331" w:hanging="0"/>
        <w:rPr>
          <w:rStyle w:val="FontStyle65"/>
          <w:rFonts w:ascii="Arial" w:hAnsi="Arial" w:cs="Arial"/>
          <w:i w:val="false"/>
          <w:i w:val="false"/>
          <w:iCs w:val="false"/>
          <w:sz w:val="22"/>
          <w:szCs w:val="22"/>
        </w:rPr>
      </w:pPr>
      <w:r>
        <w:rPr>
          <w:rStyle w:val="FontStyle65"/>
          <w:rFonts w:cs="Arial" w:ascii="Arial" w:hAnsi="Arial"/>
          <w:i w:val="false"/>
          <w:sz w:val="22"/>
          <w:szCs w:val="22"/>
        </w:rPr>
        <w:t>współpraca z mediami w celu propagowania odpowiednich inicjatyw społecznych oraz rozpowszechniania informacji dotyczących zagrożeń powodowanych przez azbest;</w:t>
      </w:r>
    </w:p>
    <w:p>
      <w:pPr>
        <w:pStyle w:val="Style33"/>
        <w:widowControl/>
        <w:numPr>
          <w:ilvl w:val="0"/>
          <w:numId w:val="47"/>
        </w:numPr>
        <w:tabs>
          <w:tab w:val="left" w:pos="331" w:leader="none"/>
        </w:tabs>
        <w:spacing w:lineRule="auto" w:line="360"/>
        <w:ind w:left="284" w:hanging="0"/>
        <w:rPr>
          <w:rStyle w:val="FontStyle65"/>
          <w:rFonts w:ascii="Arial" w:hAnsi="Arial" w:cs="Arial"/>
          <w:i w:val="false"/>
          <w:i w:val="false"/>
          <w:iCs w:val="false"/>
          <w:sz w:val="22"/>
          <w:szCs w:val="22"/>
        </w:rPr>
      </w:pPr>
      <w:r>
        <w:rPr>
          <w:rStyle w:val="FontStyle65"/>
          <w:rFonts w:cs="Arial" w:ascii="Arial" w:hAnsi="Arial"/>
          <w:i w:val="false"/>
          <w:sz w:val="22"/>
          <w:szCs w:val="22"/>
        </w:rPr>
        <w:t>współpraca z organizacjami społecznymi wspierającymi realizację Programu;</w:t>
      </w:r>
    </w:p>
    <w:p>
      <w:pPr>
        <w:pStyle w:val="Style33"/>
        <w:widowControl/>
        <w:numPr>
          <w:ilvl w:val="0"/>
          <w:numId w:val="47"/>
        </w:numPr>
        <w:tabs>
          <w:tab w:val="left" w:pos="331" w:leader="none"/>
        </w:tabs>
        <w:spacing w:lineRule="auto" w:line="360"/>
        <w:ind w:left="331" w:hanging="0"/>
        <w:rPr>
          <w:rStyle w:val="FontStyle65"/>
          <w:rFonts w:ascii="Arial" w:hAnsi="Arial" w:cs="Arial"/>
          <w:i w:val="false"/>
          <w:i w:val="false"/>
          <w:iCs w:val="false"/>
          <w:sz w:val="22"/>
          <w:szCs w:val="22"/>
        </w:rPr>
      </w:pPr>
      <w:r>
        <w:rPr>
          <w:rStyle w:val="FontStyle65"/>
          <w:rFonts w:cs="Arial" w:ascii="Arial" w:hAnsi="Arial"/>
          <w:i w:val="false"/>
          <w:sz w:val="22"/>
          <w:szCs w:val="22"/>
        </w:rPr>
        <w:t>współpraca z organami kontrolnymi (inspekcja sanitarna, inspekcja pracy, inspekcja nadzoru budowlanego, inspekcja ochrony środowiska).</w:t>
      </w:r>
    </w:p>
    <w:p>
      <w:pPr>
        <w:pStyle w:val="Style33"/>
        <w:widowControl/>
        <w:tabs>
          <w:tab w:val="left" w:pos="331" w:leader="none"/>
        </w:tabs>
        <w:spacing w:lineRule="auto" w:line="360"/>
        <w:ind w:hanging="0"/>
        <w:rPr>
          <w:rStyle w:val="FontStyle65"/>
          <w:rFonts w:ascii="Arial" w:hAnsi="Arial" w:cs="Arial"/>
          <w:i w:val="false"/>
          <w:i w:val="false"/>
          <w:iCs w:val="false"/>
          <w:sz w:val="22"/>
          <w:szCs w:val="22"/>
        </w:rPr>
      </w:pPr>
      <w:r>
        <w:rPr>
          <w:rFonts w:cs="Arial" w:ascii="Arial" w:hAnsi="Arial"/>
          <w:i w:val="false"/>
          <w:iCs w:val="false"/>
          <w:sz w:val="22"/>
          <w:szCs w:val="22"/>
        </w:rPr>
      </w:r>
    </w:p>
    <w:p>
      <w:pPr>
        <w:pStyle w:val="Style33"/>
        <w:widowControl/>
        <w:tabs>
          <w:tab w:val="left" w:pos="331" w:leader="none"/>
        </w:tabs>
        <w:spacing w:lineRule="auto" w:line="360"/>
        <w:ind w:hanging="0"/>
        <w:rPr>
          <w:rStyle w:val="FontStyle65"/>
          <w:rFonts w:ascii="Arial" w:hAnsi="Arial" w:cs="Arial"/>
          <w:i w:val="false"/>
          <w:i w:val="false"/>
          <w:iCs w:val="false"/>
          <w:sz w:val="22"/>
          <w:szCs w:val="22"/>
        </w:rPr>
      </w:pPr>
      <w:r>
        <w:rPr>
          <w:rFonts w:cs="Arial" w:ascii="Arial" w:hAnsi="Arial"/>
          <w:i w:val="false"/>
          <w:iCs w:val="false"/>
          <w:sz w:val="22"/>
          <w:szCs w:val="22"/>
        </w:rPr>
      </w:r>
    </w:p>
    <w:p>
      <w:pPr>
        <w:pStyle w:val="Style33"/>
        <w:widowControl/>
        <w:tabs>
          <w:tab w:val="left" w:pos="331" w:leader="none"/>
        </w:tabs>
        <w:spacing w:lineRule="auto" w:line="360"/>
        <w:ind w:hanging="0"/>
        <w:rPr>
          <w:rStyle w:val="FontStyle65"/>
          <w:rFonts w:ascii="Arial" w:hAnsi="Arial" w:cs="Arial"/>
          <w:i w:val="false"/>
          <w:i w:val="false"/>
          <w:iCs w:val="false"/>
          <w:sz w:val="22"/>
          <w:szCs w:val="22"/>
        </w:rPr>
      </w:pPr>
      <w:r>
        <w:rPr>
          <w:rFonts w:cs="Arial" w:ascii="Arial" w:hAnsi="Arial"/>
          <w:i w:val="false"/>
          <w:iCs w:val="false"/>
          <w:sz w:val="22"/>
          <w:szCs w:val="22"/>
        </w:rPr>
      </w:r>
    </w:p>
    <w:p>
      <w:pPr>
        <w:pStyle w:val="Style35"/>
        <w:widowControl/>
        <w:spacing w:lineRule="auto" w:line="360"/>
        <w:jc w:val="both"/>
        <w:rPr>
          <w:rStyle w:val="FontStyle64"/>
          <w:rFonts w:ascii="Arial" w:hAnsi="Arial" w:eastAsia="HumanistTripleSevenPL-Light" w:cs="Arial"/>
          <w:i w:val="false"/>
          <w:i w:val="false"/>
          <w:sz w:val="22"/>
          <w:szCs w:val="22"/>
        </w:rPr>
      </w:pPr>
      <w:r>
        <w:rPr>
          <w:rStyle w:val="FontStyle64"/>
          <w:rFonts w:eastAsia="HumanistTripleSevenPL-Light" w:cs="Arial" w:ascii="Arial" w:hAnsi="Arial"/>
          <w:i w:val="false"/>
          <w:sz w:val="22"/>
          <w:szCs w:val="22"/>
        </w:rPr>
        <w:t>Samorząd powiatowy:</w:t>
      </w:r>
    </w:p>
    <w:p>
      <w:pPr>
        <w:pStyle w:val="Style33"/>
        <w:widowControl/>
        <w:numPr>
          <w:ilvl w:val="0"/>
          <w:numId w:val="48"/>
        </w:numPr>
        <w:tabs>
          <w:tab w:val="left" w:pos="331" w:leader="none"/>
        </w:tabs>
        <w:spacing w:lineRule="auto" w:line="360"/>
        <w:ind w:left="331" w:hanging="0"/>
        <w:rPr>
          <w:rStyle w:val="FontStyle65"/>
          <w:rFonts w:ascii="Arial" w:hAnsi="Arial" w:cs="Arial"/>
          <w:i w:val="false"/>
          <w:i w:val="false"/>
          <w:iCs w:val="false"/>
          <w:sz w:val="22"/>
          <w:szCs w:val="22"/>
        </w:rPr>
      </w:pPr>
      <w:r>
        <w:rPr>
          <w:rStyle w:val="FontStyle65"/>
          <w:rFonts w:cs="Arial" w:ascii="Arial" w:hAnsi="Arial"/>
          <w:i w:val="false"/>
          <w:sz w:val="22"/>
          <w:szCs w:val="22"/>
        </w:rPr>
        <w:t>przygotowywanie i aktualizacja programów usuwania azbestu i wyrobów zawierających azbest;</w:t>
      </w:r>
    </w:p>
    <w:p>
      <w:pPr>
        <w:pStyle w:val="Style33"/>
        <w:widowControl/>
        <w:numPr>
          <w:ilvl w:val="0"/>
          <w:numId w:val="48"/>
        </w:numPr>
        <w:tabs>
          <w:tab w:val="left" w:pos="331" w:leader="none"/>
        </w:tabs>
        <w:spacing w:lineRule="auto" w:line="360"/>
        <w:ind w:left="331" w:hanging="0"/>
        <w:rPr>
          <w:rStyle w:val="FontStyle65"/>
          <w:rFonts w:ascii="Arial" w:hAnsi="Arial" w:cs="Arial"/>
          <w:i w:val="false"/>
          <w:i w:val="false"/>
          <w:iCs w:val="false"/>
          <w:sz w:val="22"/>
          <w:szCs w:val="22"/>
        </w:rPr>
      </w:pPr>
      <w:r>
        <w:rPr>
          <w:rStyle w:val="FontStyle65"/>
          <w:rFonts w:cs="Arial" w:ascii="Arial" w:hAnsi="Arial"/>
          <w:i w:val="false"/>
          <w:sz w:val="22"/>
          <w:szCs w:val="22"/>
        </w:rPr>
        <w:t>współpraca z gminami oraz marszałkiem województwa w zakresie opracowywania programów usuwania azbestu i wyrobów zawierających azbest, w szczególności</w:t>
        <w:br/>
        <w:t>w zakresie weryfikacji inwentaryzacji wyrobów zawierających azbest, lokalizacji składowisk odpadów zawierających azbest oraz urządzeń przewoźnych do przetwarzania odpadów zawierających azbest;</w:t>
      </w:r>
    </w:p>
    <w:p>
      <w:pPr>
        <w:pStyle w:val="Style33"/>
        <w:widowControl/>
        <w:numPr>
          <w:ilvl w:val="0"/>
          <w:numId w:val="48"/>
        </w:numPr>
        <w:tabs>
          <w:tab w:val="left" w:pos="331" w:leader="none"/>
        </w:tabs>
        <w:spacing w:lineRule="auto" w:line="360"/>
        <w:ind w:left="331" w:hanging="0"/>
        <w:rPr>
          <w:rStyle w:val="FontStyle65"/>
          <w:rFonts w:ascii="Arial" w:hAnsi="Arial" w:cs="Arial"/>
          <w:i w:val="false"/>
          <w:i w:val="false"/>
          <w:iCs w:val="false"/>
          <w:sz w:val="22"/>
          <w:szCs w:val="22"/>
        </w:rPr>
      </w:pPr>
      <w:r>
        <w:rPr>
          <w:rStyle w:val="FontStyle65"/>
          <w:rFonts w:cs="Arial" w:ascii="Arial" w:hAnsi="Arial"/>
          <w:i w:val="false"/>
          <w:sz w:val="22"/>
          <w:szCs w:val="22"/>
        </w:rPr>
        <w:t>organizowanie usuwania wyrobów zawierających azbest przy wykorzystaniu pozyskanych na ten cel środków krajowych lub unijnych z uwzględnieniem zasad zawartych w Programie;</w:t>
      </w:r>
    </w:p>
    <w:p>
      <w:pPr>
        <w:pStyle w:val="Style33"/>
        <w:widowControl/>
        <w:numPr>
          <w:ilvl w:val="0"/>
          <w:numId w:val="48"/>
        </w:numPr>
        <w:tabs>
          <w:tab w:val="left" w:pos="331" w:leader="none"/>
        </w:tabs>
        <w:spacing w:lineRule="auto" w:line="360"/>
        <w:ind w:left="331" w:hanging="0"/>
        <w:rPr>
          <w:rStyle w:val="FontStyle65"/>
          <w:rFonts w:ascii="Arial" w:hAnsi="Arial" w:cs="Arial"/>
          <w:i w:val="false"/>
          <w:i w:val="false"/>
          <w:iCs w:val="false"/>
          <w:sz w:val="22"/>
          <w:szCs w:val="22"/>
        </w:rPr>
      </w:pPr>
      <w:r>
        <w:rPr>
          <w:rStyle w:val="FontStyle65"/>
          <w:rFonts w:cs="Arial" w:ascii="Arial" w:hAnsi="Arial"/>
          <w:i w:val="false"/>
          <w:sz w:val="22"/>
          <w:szCs w:val="22"/>
        </w:rPr>
        <w:t>inspirowanie właściwej postawy obywateli w zakresie obowiązków związanych</w:t>
        <w:br/>
        <w:t>z usuwaniem wyrobów zawierających azbest;</w:t>
      </w:r>
    </w:p>
    <w:p>
      <w:pPr>
        <w:pStyle w:val="Style33"/>
        <w:widowControl/>
        <w:numPr>
          <w:ilvl w:val="0"/>
          <w:numId w:val="48"/>
        </w:numPr>
        <w:tabs>
          <w:tab w:val="left" w:pos="331" w:leader="none"/>
        </w:tabs>
        <w:spacing w:lineRule="auto" w:line="360"/>
        <w:ind w:left="331" w:hanging="0"/>
        <w:rPr>
          <w:rStyle w:val="FontStyle65"/>
          <w:rFonts w:ascii="Arial" w:hAnsi="Arial" w:cs="Arial"/>
          <w:i w:val="false"/>
          <w:i w:val="false"/>
          <w:iCs w:val="false"/>
          <w:sz w:val="22"/>
          <w:szCs w:val="22"/>
        </w:rPr>
      </w:pPr>
      <w:r>
        <w:rPr>
          <w:rStyle w:val="FontStyle65"/>
          <w:rFonts w:cs="Arial" w:ascii="Arial" w:hAnsi="Arial"/>
          <w:i w:val="false"/>
          <w:sz w:val="22"/>
          <w:szCs w:val="22"/>
        </w:rPr>
        <w:t>współpraca z mediami w celu propagowania odpowiednich inicjatyw społecznych oraz rozpowszechniania informacji dotyczących zagrożeń powodowanych przez azbest;</w:t>
      </w:r>
    </w:p>
    <w:p>
      <w:pPr>
        <w:pStyle w:val="Style33"/>
        <w:widowControl/>
        <w:numPr>
          <w:ilvl w:val="0"/>
          <w:numId w:val="48"/>
        </w:numPr>
        <w:tabs>
          <w:tab w:val="left" w:pos="284" w:leader="none"/>
        </w:tabs>
        <w:spacing w:lineRule="auto" w:line="360"/>
        <w:ind w:left="284" w:hanging="0"/>
        <w:rPr>
          <w:rStyle w:val="FontStyle65"/>
          <w:rFonts w:ascii="Arial" w:hAnsi="Arial" w:cs="Arial"/>
          <w:i w:val="false"/>
          <w:i w:val="false"/>
          <w:iCs w:val="false"/>
          <w:sz w:val="22"/>
          <w:szCs w:val="22"/>
        </w:rPr>
      </w:pPr>
      <w:r>
        <w:rPr>
          <w:rStyle w:val="FontStyle65"/>
          <w:rFonts w:cs="Arial" w:ascii="Arial" w:hAnsi="Arial"/>
          <w:i w:val="false"/>
          <w:sz w:val="22"/>
          <w:szCs w:val="22"/>
        </w:rPr>
        <w:t>współpraca z organizacjami społecznymi wspierającymi realizację Programu;</w:t>
      </w:r>
    </w:p>
    <w:p>
      <w:pPr>
        <w:pStyle w:val="Style36"/>
        <w:widowControl/>
        <w:numPr>
          <w:ilvl w:val="0"/>
          <w:numId w:val="48"/>
        </w:numPr>
        <w:spacing w:lineRule="auto" w:line="360" w:before="48" w:after="200"/>
        <w:ind w:left="284" w:hanging="0"/>
        <w:jc w:val="both"/>
        <w:rPr>
          <w:rStyle w:val="FontStyle65"/>
          <w:rFonts w:ascii="Arial" w:hAnsi="Arial" w:cs="Arial"/>
          <w:i w:val="false"/>
          <w:i w:val="false"/>
          <w:sz w:val="22"/>
          <w:szCs w:val="22"/>
        </w:rPr>
      </w:pPr>
      <w:r>
        <w:rPr>
          <w:rStyle w:val="FontStyle65"/>
          <w:rFonts w:cs="Arial" w:ascii="Arial" w:hAnsi="Arial"/>
          <w:i w:val="false"/>
          <w:sz w:val="22"/>
          <w:szCs w:val="22"/>
        </w:rPr>
        <w:t>współpraca z organami kontrolnymi (inspekcja sanitarna, inspekcja pracy, inspekcja nadzoru budowlanego, inspekcja ochrony środowiska).</w:t>
      </w:r>
    </w:p>
    <w:p>
      <w:pPr>
        <w:pStyle w:val="Normal"/>
        <w:spacing w:lineRule="auto" w:line="240" w:before="0" w:after="0"/>
        <w:rPr>
          <w:rStyle w:val="FontStyle65"/>
          <w:rFonts w:ascii="Arial" w:hAnsi="Arial" w:cs="Arial"/>
          <w:i w:val="false"/>
          <w:i w:val="false"/>
          <w:sz w:val="22"/>
          <w:szCs w:val="22"/>
        </w:rPr>
      </w:pPr>
      <w:r>
        <w:rPr>
          <w:rFonts w:cs="Arial" w:ascii="Arial" w:hAnsi="Arial"/>
          <w:i w:val="false"/>
          <w:sz w:val="22"/>
          <w:szCs w:val="22"/>
        </w:rPr>
      </w:r>
      <w:r>
        <w:br w:type="page"/>
      </w:r>
    </w:p>
    <w:p>
      <w:pPr>
        <w:pStyle w:val="Style36"/>
        <w:widowControl/>
        <w:spacing w:lineRule="auto" w:line="360" w:before="48" w:after="200"/>
        <w:ind w:left="284" w:hanging="0"/>
        <w:jc w:val="both"/>
        <w:rPr>
          <w:rStyle w:val="FontStyle65"/>
          <w:rFonts w:ascii="Arial" w:hAnsi="Arial" w:cs="Arial"/>
          <w:i w:val="false"/>
          <w:i w:val="false"/>
          <w:sz w:val="22"/>
          <w:szCs w:val="22"/>
        </w:rPr>
      </w:pPr>
      <w:r>
        <w:rPr>
          <w:rFonts w:cs="Arial" w:ascii="Arial" w:hAnsi="Arial"/>
          <w:i w:val="false"/>
          <w:sz w:val="22"/>
          <w:szCs w:val="22"/>
        </w:rPr>
      </w:r>
    </w:p>
    <w:p>
      <w:pPr>
        <w:pStyle w:val="Normal"/>
        <w:spacing w:lineRule="auto" w:line="360"/>
        <w:jc w:val="both"/>
        <w:rPr>
          <w:rFonts w:ascii="Arial" w:hAnsi="Arial" w:cs="Arial"/>
        </w:rPr>
      </w:pPr>
      <w:r>
        <mc:AlternateContent>
          <mc:Choice Requires="wps">
            <w:drawing>
              <wp:anchor behindDoc="0" distT="0" distB="0" distL="114300" distR="114300" simplePos="0" locked="0" layoutInCell="1" allowOverlap="1" relativeHeight="11" wp14:anchorId="1C52676F">
                <wp:simplePos x="0" y="0"/>
                <wp:positionH relativeFrom="column">
                  <wp:posOffset>0</wp:posOffset>
                </wp:positionH>
                <wp:positionV relativeFrom="paragraph">
                  <wp:posOffset>250825</wp:posOffset>
                </wp:positionV>
                <wp:extent cx="5719445" cy="3175"/>
                <wp:effectExtent l="19050" t="19050" r="0" b="19050"/>
                <wp:wrapNone/>
                <wp:docPr id="12" name="AutoShape 216"/>
                <a:graphic xmlns:a="http://schemas.openxmlformats.org/drawingml/2006/main">
                  <a:graphicData uri="http://schemas.microsoft.com/office/word/2010/wordprocessingShape">
                    <wps:wsp>
                      <wps:cNvSpPr/>
                      <wps:spPr>
                        <a:xfrm>
                          <a:off x="0" y="0"/>
                          <a:ext cx="5718960" cy="2520"/>
                        </a:xfrm>
                        <a:custGeom>
                          <a:avLst/>
                          <a:gdLst/>
                          <a:ahLst/>
                          <a:rect l="l" t="t" r="r" b="b"/>
                          <a:pathLst>
                            <a:path w="21600" h="21600">
                              <a:moveTo>
                                <a:pt x="0" y="0"/>
                              </a:moveTo>
                              <a:lnTo>
                                <a:pt x="21600" y="21600"/>
                              </a:lnTo>
                            </a:path>
                          </a:pathLst>
                        </a:custGeom>
                        <a:noFill/>
                        <a:ln cap="rnd" w="38160">
                          <a:solidFill>
                            <a:srgbClr val="000000"/>
                          </a:solidFill>
                          <a:custDash>
                            <a:ds d="100000" sp="100000"/>
                          </a:custDash>
                          <a:round/>
                        </a:ln>
                      </wps:spPr>
                      <wps:style>
                        <a:lnRef idx="0"/>
                        <a:fillRef idx="0"/>
                        <a:effectRef idx="0"/>
                        <a:fontRef idx="minor"/>
                      </wps:style>
                      <wps:bodyPr/>
                    </wps:wsp>
                  </a:graphicData>
                </a:graphic>
              </wp:anchor>
            </w:drawing>
          </mc:Choice>
          <mc:Fallback>
            <w:pict/>
          </mc:Fallback>
        </mc:AlternateContent>
      </w:r>
      <w:r>
        <w:rPr>
          <w:rFonts w:cs="Arial" w:ascii="Arial" w:hAnsi="Arial"/>
        </w:rPr>
        <w:t>Koordynacja  zadań na poszczególnym poziomie:</w:t>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mc:AlternateContent>
          <mc:Choice Requires="wps">
            <w:drawing>
              <wp:anchor behindDoc="0" distT="0" distB="0" distL="114300" distR="114300" simplePos="0" locked="0" layoutInCell="1" allowOverlap="1" relativeHeight="8" wp14:anchorId="3C689C0C">
                <wp:simplePos x="0" y="0"/>
                <wp:positionH relativeFrom="column">
                  <wp:posOffset>2057400</wp:posOffset>
                </wp:positionH>
                <wp:positionV relativeFrom="paragraph">
                  <wp:posOffset>93345</wp:posOffset>
                </wp:positionV>
                <wp:extent cx="1718945" cy="916940"/>
                <wp:effectExtent l="19050" t="19050" r="36195" b="38100"/>
                <wp:wrapNone/>
                <wp:docPr id="13" name="AutoShape 213"/>
                <a:graphic xmlns:a="http://schemas.openxmlformats.org/drawingml/2006/main">
                  <a:graphicData uri="http://schemas.microsoft.com/office/word/2010/wordprocessingShape">
                    <wps:wsp>
                      <wps:cNvSpPr/>
                      <wps:spPr>
                        <a:xfrm>
                          <a:off x="0" y="0"/>
                          <a:ext cx="1718280" cy="916200"/>
                        </a:xfrm>
                        <a:prstGeom prst="roundRect">
                          <a:avLst>
                            <a:gd name="adj" fmla="val 16667"/>
                          </a:avLst>
                        </a:prstGeom>
                        <a:solidFill>
                          <a:srgbClr val="ffffff"/>
                        </a:solidFill>
                        <a:ln w="63360">
                          <a:solidFill>
                            <a:srgbClr val="8064a2"/>
                          </a:solidFill>
                          <a:round/>
                        </a:ln>
                      </wps:spPr>
                      <wps:style>
                        <a:lnRef idx="0"/>
                        <a:fillRef idx="0"/>
                        <a:effectRef idx="0"/>
                        <a:fontRef idx="minor"/>
                      </wps:style>
                      <wps:txbx>
                        <w:txbxContent>
                          <w:p>
                            <w:pPr>
                              <w:pStyle w:val="Zawartoramki"/>
                              <w:jc w:val="center"/>
                              <w:rPr>
                                <w:color w:val="auto"/>
                              </w:rPr>
                            </w:pPr>
                            <w:r>
                              <w:rPr>
                                <w:color w:val="auto"/>
                              </w:rPr>
                              <w:t>Minister właściwy ds. gospodarki</w:t>
                            </w:r>
                          </w:p>
                          <w:p>
                            <w:pPr>
                              <w:pStyle w:val="Zawartoramki"/>
                              <w:spacing w:before="0" w:after="200"/>
                              <w:jc w:val="center"/>
                              <w:rPr/>
                            </w:pPr>
                            <w:r>
                              <w:rPr>
                                <w:color w:val="auto"/>
                                <w:sz w:val="20"/>
                                <w:szCs w:val="20"/>
                              </w:rPr>
                              <w:t>Główny Koordynator</w:t>
                            </w:r>
                          </w:p>
                        </w:txbxContent>
                      </wps:txbx>
                      <wps:bodyPr>
                        <a:noAutofit/>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9" wp14:anchorId="2AF44DB5">
                <wp:simplePos x="0" y="0"/>
                <wp:positionH relativeFrom="column">
                  <wp:posOffset>0</wp:posOffset>
                </wp:positionH>
                <wp:positionV relativeFrom="paragraph">
                  <wp:posOffset>93345</wp:posOffset>
                </wp:positionV>
                <wp:extent cx="1718945" cy="916940"/>
                <wp:effectExtent l="19050" t="19050" r="36195" b="38100"/>
                <wp:wrapNone/>
                <wp:docPr id="15" name="AutoShape 214"/>
                <a:graphic xmlns:a="http://schemas.openxmlformats.org/drawingml/2006/main">
                  <a:graphicData uri="http://schemas.microsoft.com/office/word/2010/wordprocessingShape">
                    <wps:wsp>
                      <wps:cNvSpPr/>
                      <wps:spPr>
                        <a:xfrm>
                          <a:off x="0" y="0"/>
                          <a:ext cx="1718280" cy="916200"/>
                        </a:xfrm>
                        <a:prstGeom prst="roundRect">
                          <a:avLst>
                            <a:gd name="adj" fmla="val 16667"/>
                          </a:avLst>
                        </a:prstGeom>
                        <a:solidFill>
                          <a:srgbClr val="ffffff"/>
                        </a:solidFill>
                        <a:ln w="63360">
                          <a:solidFill>
                            <a:srgbClr val="8064a2"/>
                          </a:solidFill>
                          <a:round/>
                        </a:ln>
                      </wps:spPr>
                      <wps:style>
                        <a:lnRef idx="0"/>
                        <a:fillRef idx="0"/>
                        <a:effectRef idx="0"/>
                        <a:fontRef idx="minor"/>
                      </wps:style>
                      <wps:txbx>
                        <w:txbxContent>
                          <w:p>
                            <w:pPr>
                              <w:pStyle w:val="Zawartoramki"/>
                              <w:jc w:val="center"/>
                              <w:rPr>
                                <w:sz w:val="20"/>
                                <w:szCs w:val="20"/>
                              </w:rPr>
                            </w:pPr>
                            <w:r>
                              <w:rPr>
                                <w:color w:val="auto"/>
                                <w:sz w:val="20"/>
                                <w:szCs w:val="20"/>
                              </w:rPr>
                              <w:t>Organy centralne: MF, MŚ, MI, MRR, MSWiA, MRiRW, NFOSiGW, BOŚ, GINB, GIOŚ&lt; GIP, GIS</w:t>
                            </w:r>
                          </w:p>
                          <w:p>
                            <w:pPr>
                              <w:pStyle w:val="Zawartoramki"/>
                              <w:spacing w:before="0" w:after="200"/>
                              <w:rPr/>
                            </w:pPr>
                            <w:r>
                              <w:rPr/>
                            </w:r>
                          </w:p>
                        </w:txbxContent>
                      </wps:txbx>
                      <wps:bodyPr>
                        <a:noAutofit/>
                      </wps:bodyPr>
                    </wps:wsp>
                  </a:graphicData>
                </a:graphic>
              </wp:anchor>
            </w:drawing>
          </mc:Choice>
          <mc:Fallback>
            <w:pict/>
          </mc:Fallback>
        </mc:AlternateContent>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mc:AlternateContent>
          <mc:Choice Requires="wps">
            <w:drawing>
              <wp:anchor behindDoc="0" distT="0" distB="0" distL="114300" distR="114300" simplePos="0" locked="0" layoutInCell="1" allowOverlap="1" relativeHeight="7" wp14:anchorId="6F237B97">
                <wp:simplePos x="0" y="0"/>
                <wp:positionH relativeFrom="column">
                  <wp:posOffset>4000500</wp:posOffset>
                </wp:positionH>
                <wp:positionV relativeFrom="paragraph">
                  <wp:posOffset>121920</wp:posOffset>
                </wp:positionV>
                <wp:extent cx="1718945" cy="399415"/>
                <wp:effectExtent l="19050" t="19050" r="36195" b="41275"/>
                <wp:wrapNone/>
                <wp:docPr id="17" name="AutoShape 212"/>
                <a:graphic xmlns:a="http://schemas.openxmlformats.org/drawingml/2006/main">
                  <a:graphicData uri="http://schemas.microsoft.com/office/word/2010/wordprocessingShape">
                    <wps:wsp>
                      <wps:cNvSpPr/>
                      <wps:spPr>
                        <a:xfrm>
                          <a:off x="0" y="0"/>
                          <a:ext cx="1718280" cy="398880"/>
                        </a:xfrm>
                        <a:prstGeom prst="roundRect">
                          <a:avLst>
                            <a:gd name="adj" fmla="val 16667"/>
                          </a:avLst>
                        </a:prstGeom>
                        <a:solidFill>
                          <a:srgbClr val="ffffff"/>
                        </a:solidFill>
                        <a:ln w="63360">
                          <a:solidFill>
                            <a:srgbClr val="8064a2"/>
                          </a:solidFill>
                          <a:round/>
                        </a:ln>
                      </wps:spPr>
                      <wps:style>
                        <a:lnRef idx="0"/>
                        <a:fillRef idx="0"/>
                        <a:effectRef idx="0"/>
                        <a:fontRef idx="minor"/>
                      </wps:style>
                      <wps:txbx>
                        <w:txbxContent>
                          <w:p>
                            <w:pPr>
                              <w:pStyle w:val="Zawartoramki"/>
                              <w:spacing w:before="0" w:after="200"/>
                              <w:jc w:val="center"/>
                              <w:rPr/>
                            </w:pPr>
                            <w:r>
                              <w:rPr>
                                <w:color w:val="auto"/>
                              </w:rPr>
                              <w:t>Rada Programowa</w:t>
                            </w:r>
                          </w:p>
                        </w:txbxContent>
                      </wps:txbx>
                      <wps:bodyPr>
                        <a:noAutofit/>
                      </wps:bodyPr>
                    </wps:wsp>
                  </a:graphicData>
                </a:graphic>
              </wp:anchor>
            </w:drawing>
          </mc:Choice>
          <mc:Fallback>
            <w:pict/>
          </mc:Fallback>
        </mc:AlternateContent>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mc:AlternateContent>
          <mc:Choice Requires="wps">
            <w:drawing>
              <wp:anchor behindDoc="0" distT="0" distB="0" distL="114300" distR="114300" simplePos="0" locked="0" layoutInCell="1" allowOverlap="1" relativeHeight="10" wp14:anchorId="22BBE59F">
                <wp:simplePos x="0" y="0"/>
                <wp:positionH relativeFrom="column">
                  <wp:posOffset>2057400</wp:posOffset>
                </wp:positionH>
                <wp:positionV relativeFrom="paragraph">
                  <wp:posOffset>121920</wp:posOffset>
                </wp:positionV>
                <wp:extent cx="1718945" cy="3175"/>
                <wp:effectExtent l="0" t="19050" r="36195" b="19050"/>
                <wp:wrapNone/>
                <wp:docPr id="19" name="AutoShape 215"/>
                <a:graphic xmlns:a="http://schemas.openxmlformats.org/drawingml/2006/main">
                  <a:graphicData uri="http://schemas.microsoft.com/office/word/2010/wordprocessingShape">
                    <wps:wsp>
                      <wps:cNvSpPr/>
                      <wps:spPr>
                        <a:xfrm>
                          <a:off x="0" y="0"/>
                          <a:ext cx="1718280" cy="2520"/>
                        </a:xfrm>
                        <a:custGeom>
                          <a:avLst/>
                          <a:gdLst/>
                          <a:ahLst/>
                          <a:rect l="l" t="t" r="r" b="b"/>
                          <a:pathLst>
                            <a:path w="21600" h="21600">
                              <a:moveTo>
                                <a:pt x="0" y="0"/>
                              </a:moveTo>
                              <a:lnTo>
                                <a:pt x="21600" y="21600"/>
                              </a:lnTo>
                            </a:path>
                          </a:pathLst>
                        </a:custGeom>
                        <a:noFill/>
                        <a:ln cap="rnd" w="38160">
                          <a:solidFill>
                            <a:srgbClr val="000000"/>
                          </a:solidFill>
                          <a:custDash>
                            <a:ds d="100000" sp="100000"/>
                          </a:custDash>
                          <a:round/>
                        </a:ln>
                      </wps:spPr>
                      <wps:style>
                        <a:lnRef idx="0"/>
                        <a:fillRef idx="0"/>
                        <a:effectRef idx="0"/>
                        <a:fontRef idx="minor"/>
                      </wps:style>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20" wp14:anchorId="77BCC1C8">
                <wp:simplePos x="0" y="0"/>
                <wp:positionH relativeFrom="column">
                  <wp:posOffset>1716405</wp:posOffset>
                </wp:positionH>
                <wp:positionV relativeFrom="paragraph">
                  <wp:posOffset>121920</wp:posOffset>
                </wp:positionV>
                <wp:extent cx="343535" cy="3175"/>
                <wp:effectExtent l="38100" t="76200" r="20955" b="95250"/>
                <wp:wrapNone/>
                <wp:docPr id="20" name="AutoShape 226"/>
                <a:graphic xmlns:a="http://schemas.openxmlformats.org/drawingml/2006/main">
                  <a:graphicData uri="http://schemas.microsoft.com/office/word/2010/wordprocessingShape">
                    <wps:wsp>
                      <wps:cNvSpPr/>
                      <wps:spPr>
                        <a:xfrm>
                          <a:off x="0" y="0"/>
                          <a:ext cx="343080" cy="2520"/>
                        </a:xfrm>
                        <a:custGeom>
                          <a:avLst/>
                          <a:gdLst/>
                          <a:ahLst/>
                          <a:rect l="l" t="t" r="r" b="b"/>
                          <a:pathLst>
                            <a:path w="21600" h="21600">
                              <a:moveTo>
                                <a:pt x="0" y="0"/>
                              </a:moveTo>
                              <a:lnTo>
                                <a:pt x="21600" y="21600"/>
                              </a:lnTo>
                            </a:path>
                          </a:pathLst>
                        </a:custGeom>
                        <a:noFill/>
                        <a:ln w="9360">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21" wp14:anchorId="38ABFAD6">
                <wp:simplePos x="0" y="0"/>
                <wp:positionH relativeFrom="column">
                  <wp:posOffset>3773805</wp:posOffset>
                </wp:positionH>
                <wp:positionV relativeFrom="paragraph">
                  <wp:posOffset>79375</wp:posOffset>
                </wp:positionV>
                <wp:extent cx="227330" cy="3175"/>
                <wp:effectExtent l="38100" t="76200" r="22860" b="95250"/>
                <wp:wrapNone/>
                <wp:docPr id="21" name="AutoShape 227"/>
                <a:graphic xmlns:a="http://schemas.openxmlformats.org/drawingml/2006/main">
                  <a:graphicData uri="http://schemas.microsoft.com/office/word/2010/wordprocessingShape">
                    <wps:wsp>
                      <wps:cNvSpPr/>
                      <wps:spPr>
                        <a:xfrm>
                          <a:off x="0" y="0"/>
                          <a:ext cx="226800" cy="2520"/>
                        </a:xfrm>
                        <a:custGeom>
                          <a:avLst/>
                          <a:gdLst/>
                          <a:ahLst/>
                          <a:rect l="l" t="t" r="r" b="b"/>
                          <a:pathLst>
                            <a:path w="21600" h="21600">
                              <a:moveTo>
                                <a:pt x="0" y="0"/>
                              </a:moveTo>
                              <a:lnTo>
                                <a:pt x="21600" y="21600"/>
                              </a:lnTo>
                            </a:path>
                          </a:pathLst>
                        </a:custGeom>
                        <a:noFill/>
                        <a:ln w="9360">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mc:Fallback>
        </mc:AlternateContent>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mc:AlternateContent>
          <mc:Choice Requires="wps">
            <w:drawing>
              <wp:anchor behindDoc="0" distT="0" distB="0" distL="112712" distR="113983" simplePos="0" locked="0" layoutInCell="1" allowOverlap="1" relativeHeight="26" wp14:anchorId="3E1095E8">
                <wp:simplePos x="0" y="0"/>
                <wp:positionH relativeFrom="column">
                  <wp:posOffset>2516505</wp:posOffset>
                </wp:positionH>
                <wp:positionV relativeFrom="paragraph">
                  <wp:posOffset>528955</wp:posOffset>
                </wp:positionV>
                <wp:extent cx="673735" cy="3175"/>
                <wp:effectExtent l="49848" t="45402" r="83502" b="45403"/>
                <wp:wrapNone/>
                <wp:docPr id="22" name="AutoShape 232"/>
                <a:graphic xmlns:a="http://schemas.openxmlformats.org/drawingml/2006/main">
                  <a:graphicData uri="http://schemas.microsoft.com/office/word/2010/wordprocessingShape">
                    <wps:wsp>
                      <wps:cNvSpPr/>
                      <wps:spPr>
                        <a:xfrm rot="5400000">
                          <a:off x="0" y="0"/>
                          <a:ext cx="673200" cy="2520"/>
                        </a:xfrm>
                        <a:custGeom>
                          <a:avLst/>
                          <a:gdLst/>
                          <a:ahLst/>
                          <a:rect l="l" t="t" r="r" b="b"/>
                          <a:pathLst>
                            <a:path w="21600" h="21600">
                              <a:moveTo>
                                <a:pt x="0" y="0"/>
                              </a:moveTo>
                              <a:lnTo>
                                <a:pt x="21600" y="21600"/>
                              </a:lnTo>
                            </a:path>
                          </a:pathLst>
                        </a:custGeom>
                        <a:noFill/>
                        <a:ln w="9360">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mc:Fallback>
        </mc:AlternateContent>
      </w:r>
    </w:p>
    <w:p>
      <w:pPr>
        <w:pStyle w:val="Style36"/>
        <w:widowControl/>
        <w:spacing w:lineRule="auto" w:line="360" w:before="48" w:after="200"/>
        <w:ind w:left="341" w:hanging="0"/>
        <w:jc w:val="right"/>
        <w:rPr>
          <w:rFonts w:ascii="Arial" w:hAnsi="Arial" w:cs="Arial"/>
          <w:b/>
          <w:b/>
          <w:i/>
          <w:i/>
          <w:sz w:val="20"/>
          <w:szCs w:val="20"/>
        </w:rPr>
      </w:pPr>
      <w:r>
        <mc:AlternateContent>
          <mc:Choice Requires="wps">
            <w:drawing>
              <wp:anchor behindDoc="0" distT="0" distB="0" distL="114300" distR="114300" simplePos="0" locked="0" layoutInCell="1" allowOverlap="1" relativeHeight="12" wp14:anchorId="3181724E">
                <wp:simplePos x="0" y="0"/>
                <wp:positionH relativeFrom="column">
                  <wp:posOffset>0</wp:posOffset>
                </wp:positionH>
                <wp:positionV relativeFrom="paragraph">
                  <wp:posOffset>222250</wp:posOffset>
                </wp:positionV>
                <wp:extent cx="5717540" cy="3175"/>
                <wp:effectExtent l="0" t="19050" r="0" b="19050"/>
                <wp:wrapNone/>
                <wp:docPr id="23" name="AutoShape 217"/>
                <a:graphic xmlns:a="http://schemas.openxmlformats.org/drawingml/2006/main">
                  <a:graphicData uri="http://schemas.microsoft.com/office/word/2010/wordprocessingShape">
                    <wps:wsp>
                      <wps:cNvSpPr/>
                      <wps:spPr>
                        <a:xfrm>
                          <a:off x="0" y="0"/>
                          <a:ext cx="5716800" cy="2520"/>
                        </a:xfrm>
                        <a:custGeom>
                          <a:avLst/>
                          <a:gdLst/>
                          <a:ahLst/>
                          <a:rect l="l" t="t" r="r" b="b"/>
                          <a:pathLst>
                            <a:path w="21600" h="21600">
                              <a:moveTo>
                                <a:pt x="0" y="0"/>
                              </a:moveTo>
                              <a:lnTo>
                                <a:pt x="21600" y="21600"/>
                              </a:lnTo>
                            </a:path>
                          </a:pathLst>
                        </a:custGeom>
                        <a:noFill/>
                        <a:ln cap="rnd" w="28440">
                          <a:solidFill>
                            <a:srgbClr val="000000"/>
                          </a:solidFill>
                          <a:custDash>
                            <a:ds d="100000" sp="100000"/>
                          </a:custDash>
                          <a:round/>
                        </a:ln>
                      </wps:spPr>
                      <wps:style>
                        <a:lnRef idx="0"/>
                        <a:fillRef idx="0"/>
                        <a:effectRef idx="0"/>
                        <a:fontRef idx="minor"/>
                      </wps:style>
                      <wps:bodyPr/>
                    </wps:wsp>
                  </a:graphicData>
                </a:graphic>
              </wp:anchor>
            </w:drawing>
          </mc:Choice>
          <mc:Fallback>
            <w:pict/>
          </mc:Fallback>
        </mc:AlternateContent>
      </w:r>
      <w:r>
        <w:rPr>
          <w:rFonts w:cs="Arial" w:ascii="Arial" w:hAnsi="Arial"/>
          <w:sz w:val="22"/>
          <w:szCs w:val="22"/>
        </w:rPr>
        <w:tab/>
        <w:tab/>
        <w:tab/>
        <w:tab/>
        <w:tab/>
        <w:tab/>
        <w:tab/>
        <w:tab/>
        <w:tab/>
      </w:r>
      <w:r>
        <w:rPr>
          <w:rFonts w:cs="Arial" w:ascii="Arial" w:hAnsi="Arial"/>
          <w:b/>
          <w:i/>
          <w:sz w:val="20"/>
          <w:szCs w:val="20"/>
        </w:rPr>
        <w:t>POZIOM CENTRALNY</w:t>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mc:AlternateContent>
          <mc:Choice Requires="wps">
            <w:drawing>
              <wp:anchor behindDoc="0" distT="0" distB="0" distL="114300" distR="114300" simplePos="0" locked="0" layoutInCell="1" allowOverlap="1" relativeHeight="3" wp14:anchorId="79E2142E">
                <wp:simplePos x="0" y="0"/>
                <wp:positionH relativeFrom="column">
                  <wp:posOffset>0</wp:posOffset>
                </wp:positionH>
                <wp:positionV relativeFrom="paragraph">
                  <wp:posOffset>162560</wp:posOffset>
                </wp:positionV>
                <wp:extent cx="1718945" cy="569595"/>
                <wp:effectExtent l="19050" t="19050" r="36195" b="42545"/>
                <wp:wrapNone/>
                <wp:docPr id="24" name="AutoShape 208"/>
                <a:graphic xmlns:a="http://schemas.openxmlformats.org/drawingml/2006/main">
                  <a:graphicData uri="http://schemas.microsoft.com/office/word/2010/wordprocessingShape">
                    <wps:wsp>
                      <wps:cNvSpPr/>
                      <wps:spPr>
                        <a:xfrm>
                          <a:off x="0" y="0"/>
                          <a:ext cx="1718280" cy="568800"/>
                        </a:xfrm>
                        <a:prstGeom prst="roundRect">
                          <a:avLst>
                            <a:gd name="adj" fmla="val 16667"/>
                          </a:avLst>
                        </a:prstGeom>
                        <a:solidFill>
                          <a:srgbClr val="ffffff"/>
                        </a:solidFill>
                        <a:ln w="63360">
                          <a:solidFill>
                            <a:srgbClr val="9bbb59"/>
                          </a:solidFill>
                          <a:round/>
                        </a:ln>
                      </wps:spPr>
                      <wps:style>
                        <a:lnRef idx="0"/>
                        <a:fillRef idx="0"/>
                        <a:effectRef idx="0"/>
                        <a:fontRef idx="minor"/>
                      </wps:style>
                      <wps:txbx>
                        <w:txbxContent>
                          <w:p>
                            <w:pPr>
                              <w:pStyle w:val="Zawartoramki"/>
                              <w:spacing w:before="0" w:after="200"/>
                              <w:jc w:val="center"/>
                              <w:rPr/>
                            </w:pPr>
                            <w:r>
                              <w:rPr>
                                <w:color w:val="auto"/>
                                <w:sz w:val="20"/>
                                <w:szCs w:val="20"/>
                              </w:rPr>
                              <w:t>Wojewódzki Inspektor Nadzoru Budowlanego</w:t>
                            </w:r>
                          </w:p>
                        </w:txbxContent>
                      </wps:txbx>
                      <wps:bodyPr>
                        <a:noAutofit/>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5" wp14:anchorId="1343AB2C">
                <wp:simplePos x="0" y="0"/>
                <wp:positionH relativeFrom="column">
                  <wp:posOffset>3998595</wp:posOffset>
                </wp:positionH>
                <wp:positionV relativeFrom="paragraph">
                  <wp:posOffset>162560</wp:posOffset>
                </wp:positionV>
                <wp:extent cx="1718945" cy="569595"/>
                <wp:effectExtent l="19050" t="19050" r="36195" b="42545"/>
                <wp:wrapNone/>
                <wp:docPr id="26" name="AutoShape 210"/>
                <a:graphic xmlns:a="http://schemas.openxmlformats.org/drawingml/2006/main">
                  <a:graphicData uri="http://schemas.microsoft.com/office/word/2010/wordprocessingShape">
                    <wps:wsp>
                      <wps:cNvSpPr/>
                      <wps:spPr>
                        <a:xfrm>
                          <a:off x="0" y="0"/>
                          <a:ext cx="1718280" cy="568800"/>
                        </a:xfrm>
                        <a:prstGeom prst="roundRect">
                          <a:avLst>
                            <a:gd name="adj" fmla="val 16667"/>
                          </a:avLst>
                        </a:prstGeom>
                        <a:solidFill>
                          <a:srgbClr val="ffffff"/>
                        </a:solidFill>
                        <a:ln w="63360">
                          <a:solidFill>
                            <a:srgbClr val="9bbb59"/>
                          </a:solidFill>
                          <a:round/>
                        </a:ln>
                      </wps:spPr>
                      <wps:style>
                        <a:lnRef idx="0"/>
                        <a:fillRef idx="0"/>
                        <a:effectRef idx="0"/>
                        <a:fontRef idx="minor"/>
                      </wps:style>
                      <wps:txbx>
                        <w:txbxContent>
                          <w:p>
                            <w:pPr>
                              <w:pStyle w:val="Zawartoramki"/>
                              <w:spacing w:before="0" w:after="200"/>
                              <w:jc w:val="center"/>
                              <w:rPr/>
                            </w:pPr>
                            <w:r>
                              <w:rPr>
                                <w:color w:val="auto"/>
                                <w:sz w:val="20"/>
                                <w:szCs w:val="20"/>
                              </w:rPr>
                              <w:t>Wojewódzki Inspektor Ochrony Środowiska</w:t>
                            </w:r>
                          </w:p>
                        </w:txbxContent>
                      </wps:txbx>
                      <wps:bodyPr>
                        <a:noAutofit/>
                      </wps:bodyPr>
                    </wps:wsp>
                  </a:graphicData>
                </a:graphic>
              </wp:anchor>
            </w:drawing>
          </mc:Choice>
          <mc:Fallback>
            <w:pict/>
          </mc:Fallback>
        </mc:AlternateContent>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mc:AlternateContent>
          <mc:Choice Requires="wps">
            <w:drawing>
              <wp:anchor behindDoc="0" distT="0" distB="0" distL="114300" distR="114300" simplePos="0" locked="0" layoutInCell="1" allowOverlap="1" relativeHeight="6" wp14:anchorId="6CE64669">
                <wp:simplePos x="0" y="0"/>
                <wp:positionH relativeFrom="column">
                  <wp:posOffset>2286000</wp:posOffset>
                </wp:positionH>
                <wp:positionV relativeFrom="paragraph">
                  <wp:posOffset>116205</wp:posOffset>
                </wp:positionV>
                <wp:extent cx="1259840" cy="802640"/>
                <wp:effectExtent l="19050" t="19050" r="38100" b="38100"/>
                <wp:wrapNone/>
                <wp:docPr id="28" name="AutoShape 211"/>
                <a:graphic xmlns:a="http://schemas.openxmlformats.org/drawingml/2006/main">
                  <a:graphicData uri="http://schemas.microsoft.com/office/word/2010/wordprocessingShape">
                    <wps:wsp>
                      <wps:cNvSpPr/>
                      <wps:spPr>
                        <a:xfrm>
                          <a:off x="0" y="0"/>
                          <a:ext cx="1259280" cy="802080"/>
                        </a:xfrm>
                        <a:prstGeom prst="roundRect">
                          <a:avLst>
                            <a:gd name="adj" fmla="val 16667"/>
                          </a:avLst>
                        </a:prstGeom>
                        <a:solidFill>
                          <a:srgbClr val="ffffff"/>
                        </a:solidFill>
                        <a:ln w="63360">
                          <a:solidFill>
                            <a:srgbClr val="9bbb59"/>
                          </a:solidFill>
                          <a:round/>
                        </a:ln>
                      </wps:spPr>
                      <wps:style>
                        <a:lnRef idx="0"/>
                        <a:fillRef idx="0"/>
                        <a:effectRef idx="0"/>
                        <a:fontRef idx="minor"/>
                      </wps:style>
                      <wps:txbx>
                        <w:txbxContent>
                          <w:p>
                            <w:pPr>
                              <w:pStyle w:val="Zawartoramki"/>
                              <w:spacing w:before="0" w:after="200"/>
                              <w:jc w:val="center"/>
                              <w:rPr/>
                            </w:pPr>
                            <w:r>
                              <w:rPr>
                                <w:color w:val="auto"/>
                              </w:rPr>
                              <w:t>Marszałek Województwa</w:t>
                            </w:r>
                          </w:p>
                        </w:txbxContent>
                      </wps:txbx>
                      <wps:bodyPr>
                        <a:noAutofit/>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22" wp14:anchorId="4E0407CB">
                <wp:simplePos x="0" y="0"/>
                <wp:positionH relativeFrom="column">
                  <wp:posOffset>1716405</wp:posOffset>
                </wp:positionH>
                <wp:positionV relativeFrom="paragraph">
                  <wp:posOffset>229870</wp:posOffset>
                </wp:positionV>
                <wp:extent cx="572135" cy="3175"/>
                <wp:effectExtent l="38100" t="76200" r="20955" b="95250"/>
                <wp:wrapNone/>
                <wp:docPr id="30" name="AutoShape 228"/>
                <a:graphic xmlns:a="http://schemas.openxmlformats.org/drawingml/2006/main">
                  <a:graphicData uri="http://schemas.microsoft.com/office/word/2010/wordprocessingShape">
                    <wps:wsp>
                      <wps:cNvSpPr/>
                      <wps:spPr>
                        <a:xfrm>
                          <a:off x="0" y="0"/>
                          <a:ext cx="571680" cy="2520"/>
                        </a:xfrm>
                        <a:custGeom>
                          <a:avLst/>
                          <a:gdLst/>
                          <a:ahLst/>
                          <a:rect l="l" t="t" r="r" b="b"/>
                          <a:pathLst>
                            <a:path w="21600" h="21600">
                              <a:moveTo>
                                <a:pt x="0" y="0"/>
                              </a:moveTo>
                              <a:lnTo>
                                <a:pt x="21600" y="21600"/>
                              </a:lnTo>
                            </a:path>
                          </a:pathLst>
                        </a:custGeom>
                        <a:noFill/>
                        <a:ln w="9360">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25" wp14:anchorId="71BD0ECE">
                <wp:simplePos x="0" y="0"/>
                <wp:positionH relativeFrom="column">
                  <wp:posOffset>3543300</wp:posOffset>
                </wp:positionH>
                <wp:positionV relativeFrom="paragraph">
                  <wp:posOffset>229870</wp:posOffset>
                </wp:positionV>
                <wp:extent cx="459740" cy="3175"/>
                <wp:effectExtent l="38100" t="76200" r="19050" b="95250"/>
                <wp:wrapNone/>
                <wp:docPr id="31" name="AutoShape 231"/>
                <a:graphic xmlns:a="http://schemas.openxmlformats.org/drawingml/2006/main">
                  <a:graphicData uri="http://schemas.microsoft.com/office/word/2010/wordprocessingShape">
                    <wps:wsp>
                      <wps:cNvSpPr/>
                      <wps:spPr>
                        <a:xfrm>
                          <a:off x="0" y="0"/>
                          <a:ext cx="459000" cy="2520"/>
                        </a:xfrm>
                        <a:custGeom>
                          <a:avLst/>
                          <a:gdLst/>
                          <a:ahLst/>
                          <a:rect l="l" t="t" r="r" b="b"/>
                          <a:pathLst>
                            <a:path w="21600" h="21600">
                              <a:moveTo>
                                <a:pt x="0" y="0"/>
                              </a:moveTo>
                              <a:lnTo>
                                <a:pt x="21600" y="21600"/>
                              </a:lnTo>
                            </a:path>
                          </a:pathLst>
                        </a:custGeom>
                        <a:noFill/>
                        <a:ln w="9360">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mc:Fallback>
        </mc:AlternateContent>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mc:AlternateContent>
          <mc:Choice Requires="wps">
            <w:drawing>
              <wp:anchor behindDoc="0" distT="0" distB="0" distL="114300" distR="114300" simplePos="0" locked="0" layoutInCell="1" allowOverlap="1" relativeHeight="2" wp14:anchorId="5FD998A2">
                <wp:simplePos x="0" y="0"/>
                <wp:positionH relativeFrom="column">
                  <wp:posOffset>0</wp:posOffset>
                </wp:positionH>
                <wp:positionV relativeFrom="paragraph">
                  <wp:posOffset>8255</wp:posOffset>
                </wp:positionV>
                <wp:extent cx="1718945" cy="481330"/>
                <wp:effectExtent l="19050" t="19050" r="36195" b="35560"/>
                <wp:wrapNone/>
                <wp:docPr id="32" name="AutoShape 207"/>
                <a:graphic xmlns:a="http://schemas.openxmlformats.org/drawingml/2006/main">
                  <a:graphicData uri="http://schemas.microsoft.com/office/word/2010/wordprocessingShape">
                    <wps:wsp>
                      <wps:cNvSpPr/>
                      <wps:spPr>
                        <a:xfrm>
                          <a:off x="0" y="0"/>
                          <a:ext cx="1718280" cy="480600"/>
                        </a:xfrm>
                        <a:prstGeom prst="roundRect">
                          <a:avLst>
                            <a:gd name="adj" fmla="val 16667"/>
                          </a:avLst>
                        </a:prstGeom>
                        <a:solidFill>
                          <a:srgbClr val="ffffff"/>
                        </a:solidFill>
                        <a:ln w="63360">
                          <a:solidFill>
                            <a:srgbClr val="9bbb59"/>
                          </a:solidFill>
                          <a:round/>
                        </a:ln>
                      </wps:spPr>
                      <wps:style>
                        <a:lnRef idx="0"/>
                        <a:fillRef idx="0"/>
                        <a:effectRef idx="0"/>
                        <a:fontRef idx="minor"/>
                      </wps:style>
                      <wps:txbx>
                        <w:txbxContent>
                          <w:p>
                            <w:pPr>
                              <w:pStyle w:val="Zawartoramki"/>
                              <w:spacing w:before="0" w:after="200"/>
                              <w:jc w:val="center"/>
                              <w:rPr/>
                            </w:pPr>
                            <w:r>
                              <w:rPr>
                                <w:color w:val="auto"/>
                                <w:sz w:val="20"/>
                                <w:szCs w:val="20"/>
                              </w:rPr>
                              <w:t>Okręgowy Inspektor pracy</w:t>
                            </w:r>
                          </w:p>
                        </w:txbxContent>
                      </wps:txbx>
                      <wps:bodyPr>
                        <a:noAutofit/>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4" wp14:anchorId="59E0D6FD">
                <wp:simplePos x="0" y="0"/>
                <wp:positionH relativeFrom="column">
                  <wp:posOffset>3998595</wp:posOffset>
                </wp:positionH>
                <wp:positionV relativeFrom="paragraph">
                  <wp:posOffset>8255</wp:posOffset>
                </wp:positionV>
                <wp:extent cx="1718945" cy="565785"/>
                <wp:effectExtent l="19050" t="19050" r="36195" b="46355"/>
                <wp:wrapNone/>
                <wp:docPr id="34" name="AutoShape 209"/>
                <a:graphic xmlns:a="http://schemas.openxmlformats.org/drawingml/2006/main">
                  <a:graphicData uri="http://schemas.microsoft.com/office/word/2010/wordprocessingShape">
                    <wps:wsp>
                      <wps:cNvSpPr/>
                      <wps:spPr>
                        <a:xfrm>
                          <a:off x="0" y="0"/>
                          <a:ext cx="1718280" cy="565200"/>
                        </a:xfrm>
                        <a:prstGeom prst="roundRect">
                          <a:avLst>
                            <a:gd name="adj" fmla="val 16667"/>
                          </a:avLst>
                        </a:prstGeom>
                        <a:solidFill>
                          <a:srgbClr val="ffffff"/>
                        </a:solidFill>
                        <a:ln w="63360">
                          <a:solidFill>
                            <a:srgbClr val="9bbb59"/>
                          </a:solidFill>
                          <a:round/>
                        </a:ln>
                      </wps:spPr>
                      <wps:style>
                        <a:lnRef idx="0"/>
                        <a:fillRef idx="0"/>
                        <a:effectRef idx="0"/>
                        <a:fontRef idx="minor"/>
                      </wps:style>
                      <wps:txbx>
                        <w:txbxContent>
                          <w:p>
                            <w:pPr>
                              <w:pStyle w:val="Zawartoramki"/>
                              <w:spacing w:before="0" w:after="200"/>
                              <w:jc w:val="center"/>
                              <w:rPr/>
                            </w:pPr>
                            <w:r>
                              <w:rPr>
                                <w:color w:val="auto"/>
                                <w:sz w:val="20"/>
                                <w:szCs w:val="20"/>
                              </w:rPr>
                              <w:t>Wojewódzki Inspektor Sanitarny</w:t>
                            </w:r>
                          </w:p>
                        </w:txbxContent>
                      </wps:txbx>
                      <wps:bodyPr>
                        <a:noAutofit/>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23" wp14:anchorId="0488AC22">
                <wp:simplePos x="0" y="0"/>
                <wp:positionH relativeFrom="column">
                  <wp:posOffset>3543300</wp:posOffset>
                </wp:positionH>
                <wp:positionV relativeFrom="paragraph">
                  <wp:posOffset>258445</wp:posOffset>
                </wp:positionV>
                <wp:extent cx="457835" cy="3175"/>
                <wp:effectExtent l="38100" t="76200" r="20955" b="95250"/>
                <wp:wrapNone/>
                <wp:docPr id="36" name="AutoShape 229"/>
                <a:graphic xmlns:a="http://schemas.openxmlformats.org/drawingml/2006/main">
                  <a:graphicData uri="http://schemas.microsoft.com/office/word/2010/wordprocessingShape">
                    <wps:wsp>
                      <wps:cNvSpPr/>
                      <wps:spPr>
                        <a:xfrm>
                          <a:off x="0" y="0"/>
                          <a:ext cx="457200" cy="2520"/>
                        </a:xfrm>
                        <a:custGeom>
                          <a:avLst/>
                          <a:gdLst/>
                          <a:ahLst/>
                          <a:rect l="l" t="t" r="r" b="b"/>
                          <a:pathLst>
                            <a:path w="21600" h="21600">
                              <a:moveTo>
                                <a:pt x="0" y="0"/>
                              </a:moveTo>
                              <a:lnTo>
                                <a:pt x="21600" y="21600"/>
                              </a:lnTo>
                            </a:path>
                          </a:pathLst>
                        </a:custGeom>
                        <a:noFill/>
                        <a:ln w="9360">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24" wp14:anchorId="430C06A4">
                <wp:simplePos x="0" y="0"/>
                <wp:positionH relativeFrom="column">
                  <wp:posOffset>1716405</wp:posOffset>
                </wp:positionH>
                <wp:positionV relativeFrom="paragraph">
                  <wp:posOffset>258445</wp:posOffset>
                </wp:positionV>
                <wp:extent cx="572135" cy="3175"/>
                <wp:effectExtent l="38100" t="76200" r="20955" b="94615"/>
                <wp:wrapNone/>
                <wp:docPr id="37" name="AutoShape 230"/>
                <a:graphic xmlns:a="http://schemas.openxmlformats.org/drawingml/2006/main">
                  <a:graphicData uri="http://schemas.microsoft.com/office/word/2010/wordprocessingShape">
                    <wps:wsp>
                      <wps:cNvSpPr/>
                      <wps:spPr>
                        <a:xfrm>
                          <a:off x="0" y="0"/>
                          <a:ext cx="571680" cy="2520"/>
                        </a:xfrm>
                        <a:custGeom>
                          <a:avLst/>
                          <a:gdLst/>
                          <a:ahLst/>
                          <a:rect l="l" t="t" r="r" b="b"/>
                          <a:pathLst>
                            <a:path w="21600" h="21600">
                              <a:moveTo>
                                <a:pt x="0" y="0"/>
                              </a:moveTo>
                              <a:lnTo>
                                <a:pt x="21600" y="21600"/>
                              </a:lnTo>
                            </a:path>
                          </a:pathLst>
                        </a:custGeom>
                        <a:noFill/>
                        <a:ln w="9360">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mc:Fallback>
        </mc:AlternateContent>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mc:AlternateContent>
          <mc:Choice Requires="wps">
            <w:drawing>
              <wp:anchor behindDoc="0" distT="0" distB="0" distL="114300" distR="114300" simplePos="0" locked="0" layoutInCell="1" allowOverlap="1" relativeHeight="27" wp14:anchorId="54CFA8C4">
                <wp:simplePos x="0" y="0"/>
                <wp:positionH relativeFrom="column">
                  <wp:posOffset>2400300</wp:posOffset>
                </wp:positionH>
                <wp:positionV relativeFrom="paragraph">
                  <wp:posOffset>101600</wp:posOffset>
                </wp:positionV>
                <wp:extent cx="3175" cy="1115060"/>
                <wp:effectExtent l="76200" t="38100" r="57150" b="49530"/>
                <wp:wrapNone/>
                <wp:docPr id="38" name="AutoShape 233"/>
                <a:graphic xmlns:a="http://schemas.openxmlformats.org/drawingml/2006/main">
                  <a:graphicData uri="http://schemas.microsoft.com/office/word/2010/wordprocessingShape">
                    <wps:wsp>
                      <wps:cNvSpPr/>
                      <wps:spPr>
                        <a:xfrm>
                          <a:off x="0" y="0"/>
                          <a:ext cx="2520" cy="1114560"/>
                        </a:xfrm>
                        <a:custGeom>
                          <a:avLst/>
                          <a:gdLst/>
                          <a:ahLst/>
                          <a:rect l="l" t="t" r="r" b="b"/>
                          <a:pathLst>
                            <a:path w="21600" h="21600">
                              <a:moveTo>
                                <a:pt x="0" y="0"/>
                              </a:moveTo>
                              <a:lnTo>
                                <a:pt x="21600" y="21600"/>
                              </a:lnTo>
                            </a:path>
                          </a:pathLst>
                        </a:custGeom>
                        <a:noFill/>
                        <a:ln w="9360">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30" wp14:anchorId="01AC6FBA">
                <wp:simplePos x="0" y="0"/>
                <wp:positionH relativeFrom="column">
                  <wp:posOffset>2971800</wp:posOffset>
                </wp:positionH>
                <wp:positionV relativeFrom="paragraph">
                  <wp:posOffset>101600</wp:posOffset>
                </wp:positionV>
                <wp:extent cx="3175" cy="2216150"/>
                <wp:effectExtent l="76200" t="38100" r="95250" b="53340"/>
                <wp:wrapNone/>
                <wp:docPr id="39" name="AutoShape 236"/>
                <a:graphic xmlns:a="http://schemas.openxmlformats.org/drawingml/2006/main">
                  <a:graphicData uri="http://schemas.microsoft.com/office/word/2010/wordprocessingShape">
                    <wps:wsp>
                      <wps:cNvSpPr/>
                      <wps:spPr>
                        <a:xfrm>
                          <a:off x="0" y="0"/>
                          <a:ext cx="2520" cy="2215440"/>
                        </a:xfrm>
                        <a:custGeom>
                          <a:avLst/>
                          <a:gdLst/>
                          <a:ahLst/>
                          <a:rect l="l" t="t" r="r" b="b"/>
                          <a:pathLst>
                            <a:path w="21600" h="21600">
                              <a:moveTo>
                                <a:pt x="0" y="0"/>
                              </a:moveTo>
                              <a:lnTo>
                                <a:pt x="21600" y="21600"/>
                              </a:lnTo>
                            </a:path>
                          </a:pathLst>
                        </a:custGeom>
                        <a:noFill/>
                        <a:ln w="9360">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31" wp14:anchorId="6BA9C66A">
                <wp:simplePos x="0" y="0"/>
                <wp:positionH relativeFrom="column">
                  <wp:posOffset>3200400</wp:posOffset>
                </wp:positionH>
                <wp:positionV relativeFrom="paragraph">
                  <wp:posOffset>101600</wp:posOffset>
                </wp:positionV>
                <wp:extent cx="3175" cy="1508760"/>
                <wp:effectExtent l="76200" t="38100" r="57150" b="55880"/>
                <wp:wrapNone/>
                <wp:docPr id="40" name="AutoShape 237"/>
                <a:graphic xmlns:a="http://schemas.openxmlformats.org/drawingml/2006/main">
                  <a:graphicData uri="http://schemas.microsoft.com/office/word/2010/wordprocessingShape">
                    <wps:wsp>
                      <wps:cNvSpPr/>
                      <wps:spPr>
                        <a:xfrm>
                          <a:off x="0" y="0"/>
                          <a:ext cx="2520" cy="1508040"/>
                        </a:xfrm>
                        <a:custGeom>
                          <a:avLst/>
                          <a:gdLst/>
                          <a:ahLst/>
                          <a:rect l="l" t="t" r="r" b="b"/>
                          <a:pathLst>
                            <a:path w="21600" h="21600">
                              <a:moveTo>
                                <a:pt x="0" y="0"/>
                              </a:moveTo>
                              <a:lnTo>
                                <a:pt x="21600" y="21600"/>
                              </a:lnTo>
                            </a:path>
                          </a:pathLst>
                        </a:custGeom>
                        <a:noFill/>
                        <a:ln w="9360">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32" wp14:anchorId="4C2630EF">
                <wp:simplePos x="0" y="0"/>
                <wp:positionH relativeFrom="column">
                  <wp:posOffset>3429000</wp:posOffset>
                </wp:positionH>
                <wp:positionV relativeFrom="paragraph">
                  <wp:posOffset>101600</wp:posOffset>
                </wp:positionV>
                <wp:extent cx="3175" cy="871855"/>
                <wp:effectExtent l="76200" t="38100" r="57150" b="64135"/>
                <wp:wrapNone/>
                <wp:docPr id="41" name="AutoShape 238"/>
                <a:graphic xmlns:a="http://schemas.openxmlformats.org/drawingml/2006/main">
                  <a:graphicData uri="http://schemas.microsoft.com/office/word/2010/wordprocessingShape">
                    <wps:wsp>
                      <wps:cNvSpPr/>
                      <wps:spPr>
                        <a:xfrm>
                          <a:off x="0" y="0"/>
                          <a:ext cx="2520" cy="871200"/>
                        </a:xfrm>
                        <a:custGeom>
                          <a:avLst/>
                          <a:gdLst/>
                          <a:ahLst/>
                          <a:rect l="l" t="t" r="r" b="b"/>
                          <a:pathLst>
                            <a:path w="21600" h="21600">
                              <a:moveTo>
                                <a:pt x="0" y="0"/>
                              </a:moveTo>
                              <a:lnTo>
                                <a:pt x="21600" y="21600"/>
                              </a:lnTo>
                            </a:path>
                          </a:pathLst>
                        </a:custGeom>
                        <a:noFill/>
                        <a:ln w="9360">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mc:Fallback>
        </mc:AlternateContent>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w:tab/>
        <w:tab/>
        <w:tab/>
        <w:tab/>
        <w:tab/>
        <w:tab/>
        <w:tab/>
        <w:tab/>
        <w:tab/>
      </w:r>
    </w:p>
    <w:p>
      <w:pPr>
        <w:pStyle w:val="Style36"/>
        <w:widowControl/>
        <w:spacing w:lineRule="auto" w:line="360" w:before="48" w:after="200"/>
        <w:ind w:hanging="0"/>
        <w:jc w:val="right"/>
        <w:rPr>
          <w:rFonts w:ascii="Arial" w:hAnsi="Arial" w:cs="Arial"/>
          <w:b/>
          <w:b/>
          <w:i/>
          <w:i/>
          <w:sz w:val="20"/>
          <w:szCs w:val="20"/>
        </w:rPr>
      </w:pPr>
      <w:r>
        <w:rPr>
          <w:rFonts w:cs="Arial" w:ascii="Arial" w:hAnsi="Arial"/>
          <w:b/>
          <w:i/>
          <w:sz w:val="20"/>
          <w:szCs w:val="20"/>
        </w:rPr>
        <w:t>POZIOM WOJEWÓDZKI</w:t>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mc:AlternateContent>
          <mc:Choice Requires="wps">
            <w:drawing>
              <wp:anchor behindDoc="0" distT="0" distB="0" distL="114300" distR="114300" simplePos="0" locked="0" layoutInCell="1" allowOverlap="1" relativeHeight="13" wp14:anchorId="3B29E3BE">
                <wp:simplePos x="0" y="0"/>
                <wp:positionH relativeFrom="column">
                  <wp:posOffset>0</wp:posOffset>
                </wp:positionH>
                <wp:positionV relativeFrom="paragraph">
                  <wp:posOffset>15875</wp:posOffset>
                </wp:positionV>
                <wp:extent cx="5717540" cy="3175"/>
                <wp:effectExtent l="0" t="19050" r="0" b="19050"/>
                <wp:wrapNone/>
                <wp:docPr id="42" name="AutoShape 218"/>
                <a:graphic xmlns:a="http://schemas.openxmlformats.org/drawingml/2006/main">
                  <a:graphicData uri="http://schemas.microsoft.com/office/word/2010/wordprocessingShape">
                    <wps:wsp>
                      <wps:cNvSpPr/>
                      <wps:spPr>
                        <a:xfrm>
                          <a:off x="0" y="0"/>
                          <a:ext cx="5716800" cy="2520"/>
                        </a:xfrm>
                        <a:custGeom>
                          <a:avLst/>
                          <a:gdLst/>
                          <a:ahLst/>
                          <a:rect l="l" t="t" r="r" b="b"/>
                          <a:pathLst>
                            <a:path w="21600" h="21600">
                              <a:moveTo>
                                <a:pt x="0" y="0"/>
                              </a:moveTo>
                              <a:lnTo>
                                <a:pt x="21600" y="21600"/>
                              </a:lnTo>
                            </a:path>
                          </a:pathLst>
                        </a:custGeom>
                        <a:noFill/>
                        <a:ln cap="rnd" w="28440">
                          <a:solidFill>
                            <a:srgbClr val="000000"/>
                          </a:solidFill>
                          <a:custDash>
                            <a:ds d="100000" sp="100000"/>
                          </a:custDash>
                          <a:round/>
                        </a:ln>
                      </wps:spPr>
                      <wps:style>
                        <a:lnRef idx="0"/>
                        <a:fillRef idx="0"/>
                        <a:effectRef idx="0"/>
                        <a:fontRef idx="minor"/>
                      </wps:style>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14" wp14:anchorId="332F80A2">
                <wp:simplePos x="0" y="0"/>
                <wp:positionH relativeFrom="column">
                  <wp:posOffset>0</wp:posOffset>
                </wp:positionH>
                <wp:positionV relativeFrom="paragraph">
                  <wp:posOffset>178435</wp:posOffset>
                </wp:positionV>
                <wp:extent cx="1718945" cy="547370"/>
                <wp:effectExtent l="19050" t="19050" r="36195" b="45720"/>
                <wp:wrapNone/>
                <wp:docPr id="43" name="AutoShape 219"/>
                <a:graphic xmlns:a="http://schemas.openxmlformats.org/drawingml/2006/main">
                  <a:graphicData uri="http://schemas.microsoft.com/office/word/2010/wordprocessingShape">
                    <wps:wsp>
                      <wps:cNvSpPr/>
                      <wps:spPr>
                        <a:xfrm>
                          <a:off x="0" y="0"/>
                          <a:ext cx="1718280" cy="546840"/>
                        </a:xfrm>
                        <a:prstGeom prst="roundRect">
                          <a:avLst>
                            <a:gd name="adj" fmla="val 16667"/>
                          </a:avLst>
                        </a:prstGeom>
                        <a:solidFill>
                          <a:srgbClr val="ffffff"/>
                        </a:solidFill>
                        <a:ln w="63360">
                          <a:solidFill>
                            <a:srgbClr val="4bacc6"/>
                          </a:solidFill>
                          <a:round/>
                        </a:ln>
                      </wps:spPr>
                      <wps:style>
                        <a:lnRef idx="0"/>
                        <a:fillRef idx="0"/>
                        <a:effectRef idx="0"/>
                        <a:fontRef idx="minor"/>
                      </wps:style>
                      <wps:txbx>
                        <w:txbxContent>
                          <w:p>
                            <w:pPr>
                              <w:pStyle w:val="Zawartoramki"/>
                              <w:spacing w:before="0" w:after="200"/>
                              <w:jc w:val="center"/>
                              <w:rPr/>
                            </w:pPr>
                            <w:r>
                              <w:rPr>
                                <w:color w:val="auto"/>
                                <w:sz w:val="20"/>
                                <w:szCs w:val="20"/>
                              </w:rPr>
                              <w:t>Powiatowy Inspektor Nadzoru budowlanego</w:t>
                            </w:r>
                          </w:p>
                        </w:txbxContent>
                      </wps:txbx>
                      <wps:bodyPr>
                        <a:noAutofit/>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19" wp14:anchorId="7E217B51">
                <wp:simplePos x="0" y="0"/>
                <wp:positionH relativeFrom="column">
                  <wp:posOffset>3314700</wp:posOffset>
                </wp:positionH>
                <wp:positionV relativeFrom="paragraph">
                  <wp:posOffset>178435</wp:posOffset>
                </wp:positionV>
                <wp:extent cx="2402840" cy="399415"/>
                <wp:effectExtent l="19050" t="19050" r="38100" b="41275"/>
                <wp:wrapNone/>
                <wp:docPr id="45" name="AutoShape 224"/>
                <a:graphic xmlns:a="http://schemas.openxmlformats.org/drawingml/2006/main">
                  <a:graphicData uri="http://schemas.microsoft.com/office/word/2010/wordprocessingShape">
                    <wps:wsp>
                      <wps:cNvSpPr/>
                      <wps:spPr>
                        <a:xfrm>
                          <a:off x="0" y="0"/>
                          <a:ext cx="2402280" cy="398880"/>
                        </a:xfrm>
                        <a:prstGeom prst="roundRect">
                          <a:avLst>
                            <a:gd name="adj" fmla="val 16667"/>
                          </a:avLst>
                        </a:prstGeom>
                        <a:solidFill>
                          <a:srgbClr val="ffffff"/>
                        </a:solidFill>
                        <a:ln w="63360">
                          <a:solidFill>
                            <a:srgbClr val="4bacc6"/>
                          </a:solidFill>
                          <a:round/>
                        </a:ln>
                      </wps:spPr>
                      <wps:style>
                        <a:lnRef idx="0"/>
                        <a:fillRef idx="0"/>
                        <a:effectRef idx="0"/>
                        <a:fontRef idx="minor"/>
                      </wps:style>
                      <wps:txbx>
                        <w:txbxContent>
                          <w:p>
                            <w:pPr>
                              <w:pStyle w:val="Zawartoramki"/>
                              <w:spacing w:before="0" w:after="200"/>
                              <w:jc w:val="center"/>
                              <w:rPr/>
                            </w:pPr>
                            <w:r>
                              <w:rPr>
                                <w:color w:val="auto"/>
                              </w:rPr>
                              <w:t>Związek Gmin</w:t>
                            </w:r>
                          </w:p>
                        </w:txbxContent>
                      </wps:txbx>
                      <wps:bodyPr>
                        <a:noAutofit/>
                      </wps:bodyPr>
                    </wps:wsp>
                  </a:graphicData>
                </a:graphic>
              </wp:anchor>
            </w:drawing>
          </mc:Choice>
          <mc:Fallback>
            <w:pict/>
          </mc:Fallback>
        </mc:AlternateContent>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mc:AlternateContent>
          <mc:Choice Requires="wps">
            <w:drawing>
              <wp:anchor behindDoc="0" distT="0" distB="0" distL="114300" distR="114300" simplePos="0" locked="0" layoutInCell="1" allowOverlap="1" relativeHeight="16" wp14:anchorId="577B249B">
                <wp:simplePos x="0" y="0"/>
                <wp:positionH relativeFrom="column">
                  <wp:posOffset>1943100</wp:posOffset>
                </wp:positionH>
                <wp:positionV relativeFrom="paragraph">
                  <wp:posOffset>223520</wp:posOffset>
                </wp:positionV>
                <wp:extent cx="916940" cy="720090"/>
                <wp:effectExtent l="19050" t="19050" r="38100" b="44450"/>
                <wp:wrapNone/>
                <wp:docPr id="47" name="AutoShape 221"/>
                <a:graphic xmlns:a="http://schemas.openxmlformats.org/drawingml/2006/main">
                  <a:graphicData uri="http://schemas.microsoft.com/office/word/2010/wordprocessingShape">
                    <wps:wsp>
                      <wps:cNvSpPr/>
                      <wps:spPr>
                        <a:xfrm>
                          <a:off x="0" y="0"/>
                          <a:ext cx="916200" cy="719280"/>
                        </a:xfrm>
                        <a:prstGeom prst="roundRect">
                          <a:avLst>
                            <a:gd name="adj" fmla="val 16667"/>
                          </a:avLst>
                        </a:prstGeom>
                        <a:solidFill>
                          <a:srgbClr val="ffffff"/>
                        </a:solidFill>
                        <a:ln w="63360">
                          <a:solidFill>
                            <a:srgbClr val="4bacc6"/>
                          </a:solidFill>
                          <a:round/>
                        </a:ln>
                      </wps:spPr>
                      <wps:style>
                        <a:lnRef idx="0"/>
                        <a:fillRef idx="0"/>
                        <a:effectRef idx="0"/>
                        <a:fontRef idx="minor"/>
                      </wps:style>
                      <wps:txbx>
                        <w:txbxContent>
                          <w:p>
                            <w:pPr>
                              <w:pStyle w:val="Zawartoramki"/>
                              <w:spacing w:before="0" w:after="200"/>
                              <w:jc w:val="center"/>
                              <w:rPr/>
                            </w:pPr>
                            <w:r>
                              <w:rPr>
                                <w:color w:val="auto"/>
                              </w:rPr>
                              <w:t>Starosta Powiatu</w:t>
                            </w:r>
                          </w:p>
                        </w:txbxContent>
                      </wps:txbx>
                      <wps:bodyPr>
                        <a:noAutofit/>
                      </wps:bodyPr>
                    </wps:wsp>
                  </a:graphicData>
                </a:graphic>
              </wp:anchor>
            </w:drawing>
          </mc:Choice>
          <mc:Fallback>
            <w:pict/>
          </mc:Fallback>
        </mc:AlternateContent>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mc:AlternateContent>
          <mc:Choice Requires="wps">
            <w:drawing>
              <wp:anchor behindDoc="0" distT="0" distB="0" distL="114300" distR="114300" simplePos="0" locked="0" layoutInCell="1" allowOverlap="1" relativeHeight="28" wp14:anchorId="25DD33D7">
                <wp:simplePos x="0" y="0"/>
                <wp:positionH relativeFrom="column">
                  <wp:posOffset>1716405</wp:posOffset>
                </wp:positionH>
                <wp:positionV relativeFrom="paragraph">
                  <wp:posOffset>32385</wp:posOffset>
                </wp:positionV>
                <wp:extent cx="229235" cy="3175"/>
                <wp:effectExtent l="38100" t="76200" r="20955" b="95250"/>
                <wp:wrapNone/>
                <wp:docPr id="49" name="AutoShape 234"/>
                <a:graphic xmlns:a="http://schemas.openxmlformats.org/drawingml/2006/main">
                  <a:graphicData uri="http://schemas.microsoft.com/office/word/2010/wordprocessingShape">
                    <wps:wsp>
                      <wps:cNvSpPr/>
                      <wps:spPr>
                        <a:xfrm>
                          <a:off x="0" y="0"/>
                          <a:ext cx="228600" cy="2520"/>
                        </a:xfrm>
                        <a:custGeom>
                          <a:avLst/>
                          <a:gdLst/>
                          <a:ahLst/>
                          <a:rect l="l" t="t" r="r" b="b"/>
                          <a:pathLst>
                            <a:path w="21600" h="21600">
                              <a:moveTo>
                                <a:pt x="0" y="0"/>
                              </a:moveTo>
                              <a:lnTo>
                                <a:pt x="21600" y="21600"/>
                              </a:lnTo>
                            </a:path>
                          </a:pathLst>
                        </a:custGeom>
                        <a:noFill/>
                        <a:ln w="9360">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33" wp14:anchorId="50DF82EC">
                <wp:simplePos x="0" y="0"/>
                <wp:positionH relativeFrom="column">
                  <wp:posOffset>4000500</wp:posOffset>
                </wp:positionH>
                <wp:positionV relativeFrom="paragraph">
                  <wp:posOffset>32385</wp:posOffset>
                </wp:positionV>
                <wp:extent cx="3175" cy="242570"/>
                <wp:effectExtent l="76200" t="38100" r="57150" b="64770"/>
                <wp:wrapNone/>
                <wp:docPr id="50" name="AutoShape 239"/>
                <a:graphic xmlns:a="http://schemas.openxmlformats.org/drawingml/2006/main">
                  <a:graphicData uri="http://schemas.microsoft.com/office/word/2010/wordprocessingShape">
                    <wps:wsp>
                      <wps:cNvSpPr/>
                      <wps:spPr>
                        <a:xfrm>
                          <a:off x="0" y="0"/>
                          <a:ext cx="2520" cy="241920"/>
                        </a:xfrm>
                        <a:custGeom>
                          <a:avLst/>
                          <a:gdLst/>
                          <a:ahLst/>
                          <a:rect l="l" t="t" r="r" b="b"/>
                          <a:pathLst>
                            <a:path w="21600" h="21600">
                              <a:moveTo>
                                <a:pt x="0" y="0"/>
                              </a:moveTo>
                              <a:lnTo>
                                <a:pt x="21600" y="21600"/>
                              </a:lnTo>
                            </a:path>
                          </a:pathLst>
                        </a:custGeom>
                        <a:noFill/>
                        <a:ln w="9360">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mc:Fallback>
        </mc:AlternateContent>
        <mc:AlternateContent>
          <mc:Choice Requires="wps">
            <w:drawing>
              <wp:anchor behindDoc="0" distT="0" distB="0" distL="112713" distR="113982" simplePos="0" locked="0" layoutInCell="1" allowOverlap="1" relativeHeight="35" wp14:anchorId="4754EC62">
                <wp:simplePos x="0" y="0"/>
                <wp:positionH relativeFrom="column">
                  <wp:posOffset>5064125</wp:posOffset>
                </wp:positionH>
                <wp:positionV relativeFrom="paragraph">
                  <wp:posOffset>554990</wp:posOffset>
                </wp:positionV>
                <wp:extent cx="995680" cy="3175"/>
                <wp:effectExtent l="77152" t="37148" r="93663" b="55562"/>
                <wp:wrapNone/>
                <wp:docPr id="51" name="AutoShape 241"/>
                <a:graphic xmlns:a="http://schemas.openxmlformats.org/drawingml/2006/main">
                  <a:graphicData uri="http://schemas.microsoft.com/office/word/2010/wordprocessingShape">
                    <wps:wsp>
                      <wps:cNvSpPr/>
                      <wps:spPr>
                        <a:xfrm rot="16200000">
                          <a:off x="0" y="0"/>
                          <a:ext cx="995040" cy="2520"/>
                        </a:xfrm>
                        <a:prstGeom prst="bentConnector3">
                          <a:avLst>
                            <a:gd name="adj1" fmla="val 50000"/>
                          </a:avLst>
                        </a:prstGeom>
                        <a:noFill/>
                        <a:ln w="9360">
                          <a:solidFill>
                            <a:srgbClr val="000000"/>
                          </a:solidFill>
                          <a:miter/>
                          <a:headEnd len="med" type="triangle" w="med"/>
                          <a:tailEnd len="med" type="triangle" w="med"/>
                        </a:ln>
                      </wps:spPr>
                      <wps:style>
                        <a:lnRef idx="0"/>
                        <a:fillRef idx="0"/>
                        <a:effectRef idx="0"/>
                        <a:fontRef idx="minor"/>
                      </wps:style>
                      <wps:bodyPr/>
                    </wps:wsp>
                  </a:graphicData>
                </a:graphic>
              </wp:anchor>
            </w:drawing>
          </mc:Choice>
          <mc:Fallback>
            <w:pict>
              <v:shapetype id="shapetype_34" coordsize="21600,21600" o:spt="34" adj="10800" path="m,l@0,l@0,21600l21600,21600nfe">
                <v:stroke joinstyle="miter"/>
                <v:formulas>
                  <v:f eqn="val #0"/>
                </v:formulas>
                <v:path gradientshapeok="t" o:connecttype="rect" textboxrect="0,0,21600,21600"/>
                <v:handles>
                  <v:h position="@0,10800"/>
                </v:handles>
              </v:shapetype>
              <v:shape id="shape_0" ID="AutoShape 241" stroked="t" style="position:absolute;margin-left:398.8pt;margin-top:43.7pt;width:78.3pt;height:0.15pt;rotation:270" wp14:anchorId="4754EC62" type="shapetype_34">
                <w10:wrap type="none"/>
                <v:fill o:detectmouseclick="t" on="false"/>
                <v:stroke color="black" weight="9360" startarrow="block" endarrow="block" startarrowwidth="medium" startarrowlength="medium" endarrowwidth="medium" endarrowlength="medium" joinstyle="miter" endcap="flat"/>
              </v:shape>
            </w:pict>
          </mc:Fallback>
        </mc:AlternateContent>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mc:AlternateContent>
          <mc:Choice Requires="wps">
            <w:drawing>
              <wp:anchor behindDoc="0" distT="0" distB="0" distL="114300" distR="114300" simplePos="0" locked="0" layoutInCell="1" allowOverlap="1" relativeHeight="15" wp14:anchorId="747FE7E6">
                <wp:simplePos x="0" y="0"/>
                <wp:positionH relativeFrom="column">
                  <wp:posOffset>0</wp:posOffset>
                </wp:positionH>
                <wp:positionV relativeFrom="paragraph">
                  <wp:posOffset>158115</wp:posOffset>
                </wp:positionV>
                <wp:extent cx="1718945" cy="553085"/>
                <wp:effectExtent l="19050" t="19050" r="36195" b="40005"/>
                <wp:wrapNone/>
                <wp:docPr id="52" name="AutoShape 220"/>
                <a:graphic xmlns:a="http://schemas.openxmlformats.org/drawingml/2006/main">
                  <a:graphicData uri="http://schemas.microsoft.com/office/word/2010/wordprocessingShape">
                    <wps:wsp>
                      <wps:cNvSpPr/>
                      <wps:spPr>
                        <a:xfrm>
                          <a:off x="0" y="0"/>
                          <a:ext cx="1718280" cy="552600"/>
                        </a:xfrm>
                        <a:prstGeom prst="roundRect">
                          <a:avLst>
                            <a:gd name="adj" fmla="val 16667"/>
                          </a:avLst>
                        </a:prstGeom>
                        <a:solidFill>
                          <a:srgbClr val="ffffff"/>
                        </a:solidFill>
                        <a:ln w="63360">
                          <a:solidFill>
                            <a:srgbClr val="4bacc6"/>
                          </a:solidFill>
                          <a:round/>
                        </a:ln>
                      </wps:spPr>
                      <wps:style>
                        <a:lnRef idx="0"/>
                        <a:fillRef idx="0"/>
                        <a:effectRef idx="0"/>
                        <a:fontRef idx="minor"/>
                      </wps:style>
                      <wps:txbx>
                        <w:txbxContent>
                          <w:p>
                            <w:pPr>
                              <w:pStyle w:val="Zawartoramki"/>
                              <w:spacing w:before="0" w:after="200"/>
                              <w:jc w:val="center"/>
                              <w:rPr/>
                            </w:pPr>
                            <w:r>
                              <w:rPr>
                                <w:color w:val="auto"/>
                                <w:sz w:val="20"/>
                                <w:szCs w:val="20"/>
                              </w:rPr>
                              <w:t>Powiatowy Inspektor Sanitarny</w:t>
                            </w:r>
                          </w:p>
                        </w:txbxContent>
                      </wps:txbx>
                      <wps:bodyPr>
                        <a:noAutofit/>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18" wp14:anchorId="40817810">
                <wp:simplePos x="0" y="0"/>
                <wp:positionH relativeFrom="column">
                  <wp:posOffset>3086100</wp:posOffset>
                </wp:positionH>
                <wp:positionV relativeFrom="paragraph">
                  <wp:posOffset>1270</wp:posOffset>
                </wp:positionV>
                <wp:extent cx="2334260" cy="576580"/>
                <wp:effectExtent l="19050" t="19050" r="30480" b="35560"/>
                <wp:wrapNone/>
                <wp:docPr id="54" name="AutoShape 223"/>
                <a:graphic xmlns:a="http://schemas.openxmlformats.org/drawingml/2006/main">
                  <a:graphicData uri="http://schemas.microsoft.com/office/word/2010/wordprocessingShape">
                    <wps:wsp>
                      <wps:cNvSpPr/>
                      <wps:spPr>
                        <a:xfrm>
                          <a:off x="0" y="0"/>
                          <a:ext cx="2333520" cy="576000"/>
                        </a:xfrm>
                        <a:prstGeom prst="roundRect">
                          <a:avLst>
                            <a:gd name="adj" fmla="val 16667"/>
                          </a:avLst>
                        </a:prstGeom>
                        <a:solidFill>
                          <a:srgbClr val="ffffff"/>
                        </a:solidFill>
                        <a:ln w="63360">
                          <a:solidFill>
                            <a:srgbClr val="4bacc6"/>
                          </a:solidFill>
                          <a:round/>
                        </a:ln>
                      </wps:spPr>
                      <wps:style>
                        <a:lnRef idx="0"/>
                        <a:fillRef idx="0"/>
                        <a:effectRef idx="0"/>
                        <a:fontRef idx="minor"/>
                      </wps:style>
                      <wps:txbx>
                        <w:txbxContent>
                          <w:p>
                            <w:pPr>
                              <w:pStyle w:val="Zawartoramki"/>
                              <w:spacing w:before="0" w:after="200"/>
                              <w:jc w:val="center"/>
                              <w:rPr/>
                            </w:pPr>
                            <w:r>
                              <w:rPr>
                                <w:color w:val="auto"/>
                                <w:sz w:val="20"/>
                                <w:szCs w:val="20"/>
                              </w:rPr>
                              <w:t>Organizacje Społeczne do usuwania azbestu</w:t>
                            </w:r>
                          </w:p>
                        </w:txbxContent>
                      </wps:txbx>
                      <wps:bodyPr>
                        <a:noAutofit/>
                      </wps:bodyPr>
                    </wps:wsp>
                  </a:graphicData>
                </a:graphic>
              </wp:anchor>
            </w:drawing>
          </mc:Choice>
          <mc:Fallback>
            <w:pict/>
          </mc:Fallback>
        </mc:AlternateContent>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mc:AlternateContent>
          <mc:Choice Requires="wps">
            <w:drawing>
              <wp:anchor behindDoc="0" distT="0" distB="0" distL="114300" distR="114300" simplePos="0" locked="0" layoutInCell="1" allowOverlap="1" relativeHeight="29" wp14:anchorId="466E19C6">
                <wp:simplePos x="0" y="0"/>
                <wp:positionH relativeFrom="column">
                  <wp:posOffset>2743200</wp:posOffset>
                </wp:positionH>
                <wp:positionV relativeFrom="paragraph">
                  <wp:posOffset>126365</wp:posOffset>
                </wp:positionV>
                <wp:extent cx="3175" cy="313690"/>
                <wp:effectExtent l="76200" t="38100" r="57150" b="50800"/>
                <wp:wrapNone/>
                <wp:docPr id="56" name="AutoShape 235"/>
                <a:graphic xmlns:a="http://schemas.openxmlformats.org/drawingml/2006/main">
                  <a:graphicData uri="http://schemas.microsoft.com/office/word/2010/wordprocessingShape">
                    <wps:wsp>
                      <wps:cNvSpPr/>
                      <wps:spPr>
                        <a:xfrm>
                          <a:off x="0" y="0"/>
                          <a:ext cx="2520" cy="313200"/>
                        </a:xfrm>
                        <a:custGeom>
                          <a:avLst/>
                          <a:gdLst/>
                          <a:ahLst/>
                          <a:rect l="l" t="t" r="r" b="b"/>
                          <a:pathLst>
                            <a:path w="21600" h="21600">
                              <a:moveTo>
                                <a:pt x="0" y="0"/>
                              </a:moveTo>
                              <a:lnTo>
                                <a:pt x="21600" y="21600"/>
                              </a:lnTo>
                            </a:path>
                          </a:pathLst>
                        </a:custGeom>
                        <a:noFill/>
                        <a:ln w="9360">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mc:Fallback>
        </mc:AlternateContent>
      </w:r>
    </w:p>
    <w:p>
      <w:pPr>
        <w:pStyle w:val="Style36"/>
        <w:widowControl/>
        <w:spacing w:lineRule="auto" w:line="360" w:before="48" w:after="200"/>
        <w:ind w:left="341" w:hanging="0"/>
        <w:jc w:val="both"/>
        <w:rPr>
          <w:rFonts w:ascii="Arial" w:hAnsi="Arial" w:cs="Arial"/>
          <w:sz w:val="22"/>
          <w:szCs w:val="22"/>
        </w:rPr>
      </w:pPr>
      <w:r>
        <w:rPr>
          <w:rFonts w:cs="Arial" w:ascii="Arial" w:hAnsi="Arial"/>
          <w:sz w:val="22"/>
          <w:szCs w:val="22"/>
        </w:rPr>
        <mc:AlternateContent>
          <mc:Choice Requires="wps">
            <w:drawing>
              <wp:anchor behindDoc="0" distT="0" distB="0" distL="114300" distR="114300" simplePos="0" locked="0" layoutInCell="1" allowOverlap="1" relativeHeight="17" wp14:anchorId="02E88445">
                <wp:simplePos x="0" y="0"/>
                <wp:positionH relativeFrom="column">
                  <wp:posOffset>2628900</wp:posOffset>
                </wp:positionH>
                <wp:positionV relativeFrom="paragraph">
                  <wp:posOffset>245110</wp:posOffset>
                </wp:positionV>
                <wp:extent cx="3088640" cy="399415"/>
                <wp:effectExtent l="19050" t="19050" r="38100" b="41275"/>
                <wp:wrapNone/>
                <wp:docPr id="57" name="AutoShape 222"/>
                <a:graphic xmlns:a="http://schemas.openxmlformats.org/drawingml/2006/main">
                  <a:graphicData uri="http://schemas.microsoft.com/office/word/2010/wordprocessingShape">
                    <wps:wsp>
                      <wps:cNvSpPr/>
                      <wps:spPr>
                        <a:xfrm>
                          <a:off x="0" y="0"/>
                          <a:ext cx="3088080" cy="398880"/>
                        </a:xfrm>
                        <a:prstGeom prst="roundRect">
                          <a:avLst>
                            <a:gd name="adj" fmla="val 16667"/>
                          </a:avLst>
                        </a:prstGeom>
                        <a:solidFill>
                          <a:srgbClr val="ffffff"/>
                        </a:solidFill>
                        <a:ln w="63360">
                          <a:solidFill>
                            <a:srgbClr val="4bacc6"/>
                          </a:solidFill>
                          <a:round/>
                        </a:ln>
                      </wps:spPr>
                      <wps:style>
                        <a:lnRef idx="0"/>
                        <a:fillRef idx="0"/>
                        <a:effectRef idx="0"/>
                        <a:fontRef idx="minor"/>
                      </wps:style>
                      <wps:txbx>
                        <w:txbxContent>
                          <w:p>
                            <w:pPr>
                              <w:pStyle w:val="Zawartoramki"/>
                              <w:spacing w:before="0" w:after="200"/>
                              <w:jc w:val="center"/>
                              <w:rPr/>
                            </w:pPr>
                            <w:r>
                              <w:rPr>
                                <w:color w:val="auto"/>
                              </w:rPr>
                              <w:t>Gminy</w:t>
                            </w:r>
                          </w:p>
                        </w:txbxContent>
                      </wps:txbx>
                      <wps:bodyPr>
                        <a:noAutofit/>
                      </wps:bodyPr>
                    </wps:wsp>
                  </a:graphicData>
                </a:graphic>
              </wp:anchor>
            </w:drawing>
          </mc:Choice>
          <mc:Fallback>
            <w:pict/>
          </mc:Fallback>
        </mc:AlternateContent>
        <mc:AlternateContent>
          <mc:Choice Requires="wps">
            <w:drawing>
              <wp:anchor behindDoc="0" distT="0" distB="0" distL="114300" distR="114300" simplePos="0" locked="0" layoutInCell="1" allowOverlap="1" relativeHeight="34" wp14:anchorId="4E86AF12">
                <wp:simplePos x="0" y="0"/>
                <wp:positionH relativeFrom="column">
                  <wp:posOffset>3657600</wp:posOffset>
                </wp:positionH>
                <wp:positionV relativeFrom="paragraph">
                  <wp:posOffset>16510</wp:posOffset>
                </wp:positionV>
                <wp:extent cx="3175" cy="231140"/>
                <wp:effectExtent l="76200" t="38100" r="57150" b="57150"/>
                <wp:wrapNone/>
                <wp:docPr id="59" name="AutoShape 240"/>
                <a:graphic xmlns:a="http://schemas.openxmlformats.org/drawingml/2006/main">
                  <a:graphicData uri="http://schemas.microsoft.com/office/word/2010/wordprocessingShape">
                    <wps:wsp>
                      <wps:cNvSpPr/>
                      <wps:spPr>
                        <a:xfrm>
                          <a:off x="0" y="0"/>
                          <a:ext cx="2520" cy="230400"/>
                        </a:xfrm>
                        <a:custGeom>
                          <a:avLst/>
                          <a:gdLst/>
                          <a:ahLst/>
                          <a:rect l="l" t="t" r="r" b="b"/>
                          <a:pathLst>
                            <a:path w="21600" h="21600">
                              <a:moveTo>
                                <a:pt x="0" y="0"/>
                              </a:moveTo>
                              <a:lnTo>
                                <a:pt x="21600" y="21600"/>
                              </a:lnTo>
                            </a:path>
                          </a:pathLst>
                        </a:custGeom>
                        <a:noFill/>
                        <a:ln w="9360">
                          <a:solidFill>
                            <a:srgbClr val="000000"/>
                          </a:solidFill>
                          <a:round/>
                          <a:headEnd len="med" type="triangle" w="med"/>
                          <a:tailEnd len="med" type="triangle" w="med"/>
                        </a:ln>
                      </wps:spPr>
                      <wps:style>
                        <a:lnRef idx="0"/>
                        <a:fillRef idx="0"/>
                        <a:effectRef idx="0"/>
                        <a:fontRef idx="minor"/>
                      </wps:style>
                      <wps:bodyPr/>
                    </wps:wsp>
                  </a:graphicData>
                </a:graphic>
              </wp:anchor>
            </w:drawing>
          </mc:Choice>
          <mc:Fallback>
            <w:pict/>
          </mc:Fallback>
        </mc:AlternateContent>
      </w:r>
    </w:p>
    <w:p>
      <w:pPr>
        <w:pStyle w:val="Style36"/>
        <w:widowControl/>
        <w:spacing w:lineRule="auto" w:line="360" w:before="48" w:after="200"/>
        <w:ind w:hanging="0"/>
        <w:rPr>
          <w:rFonts w:ascii="Arial" w:hAnsi="Arial" w:cs="Arial"/>
          <w:b/>
          <w:b/>
          <w:i/>
          <w:i/>
          <w:sz w:val="22"/>
          <w:szCs w:val="22"/>
        </w:rPr>
      </w:pPr>
      <w:r>
        <w:rPr>
          <w:rFonts w:cs="Arial" w:ascii="Arial" w:hAnsi="Arial"/>
          <w:b/>
          <w:i/>
          <w:sz w:val="22"/>
          <w:szCs w:val="22"/>
        </w:rPr>
      </w:r>
    </w:p>
    <w:p>
      <w:pPr>
        <w:pStyle w:val="Style36"/>
        <w:widowControl/>
        <w:spacing w:lineRule="auto" w:line="360" w:before="48" w:after="200"/>
        <w:ind w:hanging="0"/>
        <w:rPr>
          <w:rFonts w:ascii="Arial" w:hAnsi="Arial" w:cs="Arial"/>
          <w:b/>
          <w:b/>
          <w:i/>
          <w:i/>
          <w:sz w:val="22"/>
          <w:szCs w:val="22"/>
        </w:rPr>
      </w:pPr>
      <w:r>
        <w:rPr>
          <w:rFonts w:cs="Arial" w:ascii="Arial" w:hAnsi="Arial"/>
          <w:b/>
          <w:i/>
          <w:sz w:val="22"/>
          <w:szCs w:val="22"/>
        </w:rPr>
      </w:r>
    </w:p>
    <w:p>
      <w:pPr>
        <w:pStyle w:val="Style17"/>
        <w:widowControl/>
        <w:spacing w:lineRule="auto" w:line="360"/>
        <w:ind w:firstLine="709"/>
        <w:rPr>
          <w:rStyle w:val="FontStyle78"/>
          <w:rFonts w:ascii="Arial" w:hAnsi="Arial" w:cs="Arial"/>
          <w:sz w:val="22"/>
          <w:szCs w:val="22"/>
        </w:rPr>
      </w:pPr>
      <w:r>
        <w:rPr>
          <w:rFonts w:cs="Arial" w:ascii="Arial" w:hAnsi="Arial"/>
          <w:sz w:val="22"/>
          <w:szCs w:val="22"/>
        </w:rPr>
      </w:r>
    </w:p>
    <w:p>
      <w:pPr>
        <w:pStyle w:val="Style17"/>
        <w:widowControl/>
        <w:spacing w:lineRule="auto" w:line="360"/>
        <w:ind w:firstLine="709"/>
        <w:rPr>
          <w:rStyle w:val="FontStyle78"/>
          <w:rFonts w:ascii="Arial" w:hAnsi="Arial" w:cs="Arial"/>
          <w:sz w:val="22"/>
          <w:szCs w:val="22"/>
        </w:rPr>
      </w:pPr>
      <w:r>
        <w:rPr>
          <w:rStyle w:val="FontStyle78"/>
          <w:rFonts w:cs="Arial" w:ascii="Arial" w:hAnsi="Arial"/>
          <w:sz w:val="22"/>
          <w:szCs w:val="22"/>
        </w:rPr>
        <w:t>Podstawą do opracowania programów usuwania azbestu i wyrobów zawierających azbest w pierwszej kolejności jest dokonanie rozpoznania stopnia zużycia tych wyrobów zabudowanych na konkretnych obiektach. Uzyskane dane powinny być gromadzone przez samorząd gminy, a następnie przekazywane do samorządu powiatowego celem opracowania powiatowego programu usuwania azbestu i wyrobów zawierających azbest stanowiącego integralną część programu wojewódzkiego.</w:t>
      </w:r>
      <w:bookmarkStart w:id="64" w:name="_Toc275289384"/>
    </w:p>
    <w:p>
      <w:pPr>
        <w:pStyle w:val="Style17"/>
        <w:widowControl/>
        <w:spacing w:lineRule="auto" w:line="360" w:before="5" w:after="200"/>
        <w:ind w:firstLine="708"/>
        <w:rPr>
          <w:rFonts w:ascii="Arial" w:hAnsi="Arial" w:cs="Arial"/>
          <w:sz w:val="22"/>
          <w:szCs w:val="22"/>
        </w:rPr>
      </w:pPr>
      <w:r>
        <w:rPr>
          <w:rStyle w:val="FontStyle78"/>
          <w:rFonts w:cs="Arial" w:ascii="Arial" w:hAnsi="Arial"/>
          <w:sz w:val="22"/>
          <w:szCs w:val="22"/>
        </w:rPr>
        <w:t>Tak, więc niezbędnym jest rozpowszechnienie wśród społeczności lokalnej informacji o skutkach dla zdrowia i środowiska powodowanych przez azbest i wyroby zawierające azbest, zorganizowanie fachowej pomocy wszystkim właścicielom obiektów przez samorządy powiatów i gmin przy wypełnianiu arkuszy ocen ujętych w rozporządzeniu</w:t>
      </w:r>
      <w:bookmarkEnd w:id="64"/>
      <w:r>
        <w:rPr>
          <w:rStyle w:val="FontStyle78"/>
          <w:rFonts w:cs="Arial" w:ascii="Arial" w:hAnsi="Arial"/>
          <w:sz w:val="22"/>
          <w:szCs w:val="22"/>
        </w:rPr>
        <w:t>.</w:t>
      </w:r>
    </w:p>
    <w:p>
      <w:pPr>
        <w:pStyle w:val="Normal"/>
        <w:spacing w:lineRule="auto" w:line="360" w:before="0" w:after="0"/>
        <w:ind w:firstLine="709"/>
        <w:jc w:val="both"/>
        <w:rPr>
          <w:rFonts w:ascii="Arial" w:hAnsi="Arial" w:cs="Arial"/>
          <w:b/>
          <w:b/>
          <w:color w:val="000000"/>
        </w:rPr>
      </w:pPr>
      <w:r>
        <w:rPr>
          <w:rFonts w:cs="Arial" w:ascii="Arial" w:hAnsi="Arial"/>
          <w:color w:val="000000"/>
        </w:rPr>
        <w:t xml:space="preserve">Zgodnie z danymi pochodzącymi z Bazy Azbestowej, prowadzonej przez Ministerstwo Przedsiębiorczości i Technologii, stan na </w:t>
      </w:r>
      <w:r>
        <w:rPr>
          <w:rFonts w:cs="Arial" w:ascii="Arial" w:hAnsi="Arial"/>
          <w:b/>
          <w:color w:val="000000"/>
        </w:rPr>
        <w:t>sierpień 2019</w:t>
      </w:r>
      <w:r>
        <w:rPr>
          <w:rFonts w:cs="Arial" w:ascii="Arial" w:hAnsi="Arial"/>
          <w:color w:val="000000"/>
        </w:rPr>
        <w:t xml:space="preserve"> roku na terenie woj. kujawsko – pomorskiego zinwentaryzowano ok.  </w:t>
      </w:r>
      <w:r>
        <w:rPr>
          <w:rFonts w:cs="Arial" w:ascii="Arial" w:hAnsi="Arial"/>
          <w:b/>
        </w:rPr>
        <w:t xml:space="preserve">555 990 Mg </w:t>
      </w:r>
      <w:r>
        <w:rPr>
          <w:rFonts w:cs="Arial" w:ascii="Arial" w:hAnsi="Arial"/>
          <w:color w:val="000000"/>
        </w:rPr>
        <w:t xml:space="preserve">wyrobów zawierających azbest, z czego unieszkodliwiono około </w:t>
      </w:r>
      <w:r>
        <w:rPr>
          <w:rFonts w:cs="Arial" w:ascii="Arial" w:hAnsi="Arial"/>
          <w:b/>
        </w:rPr>
        <w:t xml:space="preserve">60 956 Mg </w:t>
      </w:r>
      <w:r>
        <w:rPr>
          <w:rFonts w:cs="Arial" w:ascii="Arial" w:hAnsi="Arial"/>
          <w:color w:val="000000"/>
        </w:rPr>
        <w:t xml:space="preserve">a do unieszkodliwienia pozostało około </w:t>
      </w:r>
      <w:r>
        <w:rPr>
          <w:rFonts w:cs="Arial" w:ascii="Arial" w:hAnsi="Arial"/>
          <w:b/>
          <w:color w:val="000000"/>
        </w:rPr>
        <w:t>495 035 Mg.</w:t>
      </w:r>
    </w:p>
    <w:p>
      <w:pPr>
        <w:pStyle w:val="Normal"/>
        <w:spacing w:lineRule="auto" w:line="360"/>
        <w:ind w:firstLine="708"/>
        <w:jc w:val="both"/>
        <w:rPr>
          <w:rFonts w:ascii="Arial" w:hAnsi="Arial" w:cs="Arial"/>
        </w:rPr>
      </w:pPr>
      <w:r>
        <w:rPr>
          <w:rFonts w:cs="Arial" w:ascii="Arial" w:hAnsi="Arial"/>
        </w:rPr>
        <w:t>Z uwagi na szczególne zagrożenie dla środowiska i zdrowia ludzkiego, wyroby zawierające azbest powinny podlegać sukcesywnej eliminacji przy zachowywaniu specjalistycznych procedur prowadzenia prac.  Demontażu elementów izolacyjnych i budowlanych zawierających azbest mogą dokonać tylko osoby i firmy posiadające stosowne przeszkolenie w zakresie BHP usuwania wyrobów zawierających azbest.</w:t>
      </w:r>
    </w:p>
    <w:p>
      <w:pPr>
        <w:pStyle w:val="Normal"/>
        <w:spacing w:lineRule="auto" w:line="360"/>
        <w:ind w:firstLine="708"/>
        <w:jc w:val="both"/>
        <w:rPr/>
      </w:pPr>
      <w:r>
        <w:rPr/>
      </w:r>
      <w:bookmarkStart w:id="65" w:name="_Toc334432868"/>
      <w:bookmarkStart w:id="66" w:name="_Toc394065391"/>
      <w:bookmarkStart w:id="67" w:name="_Toc334432868"/>
      <w:bookmarkStart w:id="68" w:name="_Toc394065391"/>
      <w:bookmarkEnd w:id="67"/>
      <w:bookmarkEnd w:id="68"/>
    </w:p>
    <w:p>
      <w:pPr>
        <w:pStyle w:val="Normal"/>
        <w:spacing w:lineRule="auto" w:line="240" w:before="0" w:after="0"/>
        <w:rPr/>
      </w:pPr>
      <w:r>
        <w:rPr/>
      </w:r>
      <w:r>
        <w:br w:type="page"/>
      </w:r>
    </w:p>
    <w:p>
      <w:pPr>
        <w:pStyle w:val="Nagwek1"/>
        <w:jc w:val="both"/>
        <w:rPr>
          <w:rFonts w:cs="Arial"/>
          <w:color w:val="000000"/>
          <w:szCs w:val="28"/>
        </w:rPr>
      </w:pPr>
      <w:bookmarkStart w:id="69" w:name="_Toc20296875"/>
      <w:bookmarkStart w:id="70" w:name="_Toc197863500"/>
      <w:bookmarkStart w:id="71" w:name="_Toc197863649"/>
      <w:bookmarkStart w:id="72" w:name="_Toc197863682"/>
      <w:bookmarkStart w:id="73" w:name="_Toc278442757"/>
      <w:r>
        <w:rPr>
          <w:rFonts w:cs="Arial"/>
          <w:szCs w:val="28"/>
        </w:rPr>
        <w:t xml:space="preserve">5. </w:t>
      </w:r>
      <w:bookmarkEnd w:id="70"/>
      <w:bookmarkEnd w:id="71"/>
      <w:bookmarkEnd w:id="72"/>
      <w:bookmarkEnd w:id="73"/>
      <w:r>
        <w:rPr>
          <w:rFonts w:cs="Arial"/>
          <w:color w:val="000000"/>
          <w:szCs w:val="28"/>
        </w:rPr>
        <w:t>GOSPODAROWANIE WYROBAMI I ODPADAMI ZAWIERAJĄCYMI AZBEST NA TERENIE GMINY MROCZA</w:t>
      </w:r>
      <w:bookmarkEnd w:id="69"/>
    </w:p>
    <w:p>
      <w:pPr>
        <w:pStyle w:val="Nagwek2"/>
        <w:jc w:val="both"/>
        <w:rPr/>
      </w:pPr>
      <w:bookmarkStart w:id="74" w:name="_Toc20296876"/>
      <w:bookmarkStart w:id="75" w:name="_Toc370378699"/>
      <w:r>
        <w:rPr/>
        <w:t xml:space="preserve">5.1. </w:t>
      </w:r>
      <w:bookmarkEnd w:id="75"/>
      <w:r>
        <w:rPr/>
        <w:t>Wyroby zawierające azbest na terenie Gminy Mrocza  – rodzaj i ilość</w:t>
      </w:r>
      <w:bookmarkEnd w:id="74"/>
      <w:r>
        <w:rPr/>
        <w:t xml:space="preserve"> </w:t>
      </w:r>
    </w:p>
    <w:p>
      <w:pPr>
        <w:pStyle w:val="Normal"/>
        <w:spacing w:lineRule="auto" w:line="360" w:before="0" w:after="0"/>
        <w:ind w:firstLine="708"/>
        <w:jc w:val="both"/>
        <w:rPr>
          <w:rFonts w:ascii="Arial" w:hAnsi="Arial" w:cs="Arial"/>
        </w:rPr>
      </w:pPr>
      <w:r>
        <w:rPr>
          <w:rFonts w:cs="Arial" w:ascii="Arial" w:hAnsi="Arial"/>
        </w:rPr>
      </w:r>
    </w:p>
    <w:p>
      <w:pPr>
        <w:pStyle w:val="Normal"/>
        <w:spacing w:lineRule="auto" w:line="360" w:before="0" w:after="0"/>
        <w:ind w:firstLine="708"/>
        <w:jc w:val="both"/>
        <w:rPr>
          <w:rFonts w:ascii="Arial" w:hAnsi="Arial" w:cs="Arial"/>
        </w:rPr>
      </w:pPr>
      <w:r>
        <w:rPr>
          <w:rFonts w:cs="Arial" w:ascii="Arial" w:hAnsi="Arial"/>
        </w:rPr>
        <w:t>Wg danych uzyskanych na podstawie wykonanej w 2019 r.  inwentaryzacji wyrobów zawierających azbest aktualnie na terenie gminy znajduje się  ok. 4 037 Mg wyrobów zawierających azbest, co w przeliczeniu daje ilość ok. 0,43 Mg/1 mieszkańca gminy i ok.  27 Mg/km</w:t>
      </w:r>
      <w:r>
        <w:rPr>
          <w:rFonts w:cs="Arial" w:ascii="Arial" w:hAnsi="Arial"/>
          <w:vertAlign w:val="superscript"/>
        </w:rPr>
        <w:t xml:space="preserve">2 </w:t>
      </w:r>
      <w:r>
        <w:rPr>
          <w:rFonts w:cs="Arial" w:ascii="Arial" w:hAnsi="Arial"/>
        </w:rPr>
        <w:t>powierzchni gminy.</w:t>
      </w:r>
    </w:p>
    <w:p>
      <w:pPr>
        <w:pStyle w:val="Caption"/>
        <w:rPr/>
      </w:pPr>
      <w:r>
        <w:rPr/>
      </w:r>
    </w:p>
    <w:p>
      <w:pPr>
        <w:pStyle w:val="Caption"/>
        <w:rPr>
          <w:rFonts w:cs="Arial"/>
          <w:sz w:val="20"/>
          <w:szCs w:val="20"/>
        </w:rPr>
      </w:pPr>
      <w:r>
        <w:rPr>
          <w:sz w:val="20"/>
          <w:szCs w:val="20"/>
        </w:rPr>
        <w:t xml:space="preserve">Rysunek </w:t>
      </w:r>
      <w:r>
        <w:rPr>
          <w:sz w:val="20"/>
          <w:szCs w:val="20"/>
        </w:rPr>
        <w:fldChar w:fldCharType="begin"/>
      </w:r>
      <w:r>
        <w:rPr>
          <w:sz w:val="20"/>
          <w:szCs w:val="20"/>
        </w:rPr>
        <w:instrText> SEQ Rysunek \* ARABIC </w:instrText>
      </w:r>
      <w:r>
        <w:rPr>
          <w:sz w:val="20"/>
          <w:szCs w:val="20"/>
        </w:rPr>
        <w:fldChar w:fldCharType="separate"/>
      </w:r>
      <w:r>
        <w:rPr>
          <w:sz w:val="20"/>
          <w:szCs w:val="20"/>
        </w:rPr>
        <w:t>2</w:t>
      </w:r>
      <w:r>
        <w:rPr>
          <w:sz w:val="20"/>
          <w:szCs w:val="20"/>
        </w:rPr>
        <w:fldChar w:fldCharType="end"/>
      </w:r>
      <w:r>
        <w:rPr>
          <w:sz w:val="20"/>
          <w:szCs w:val="20"/>
        </w:rPr>
        <w:t xml:space="preserve"> Ilość wyrobów zawierających azbest pozostałych do unieszkodliwienia w przeliczeniu na 1 osobę </w:t>
      </w:r>
      <w:bookmarkStart w:id="76" w:name="_Toc19785222"/>
      <w:bookmarkEnd w:id="76"/>
      <w:r>
        <w:rPr>
          <w:rStyle w:val="Zakotwiczenieprzypisudolnego"/>
          <w:rStyle w:val="Zakotwiczenieprzypisudolnego"/>
          <w:sz w:val="20"/>
          <w:szCs w:val="20"/>
        </w:rPr>
        <w:footnoteReference w:id="5"/>
      </w:r>
    </w:p>
    <w:p>
      <w:pPr>
        <w:pStyle w:val="Normal"/>
        <w:spacing w:lineRule="auto" w:line="360" w:before="0" w:after="0"/>
        <w:ind w:firstLine="708"/>
        <w:jc w:val="both"/>
        <w:rPr>
          <w:rFonts w:ascii="Arial" w:hAnsi="Arial" w:cs="Arial"/>
        </w:rPr>
      </w:pPr>
      <w:r>
        <w:rPr/>
        <w:drawing>
          <wp:inline distT="0" distB="0" distL="0" distR="0">
            <wp:extent cx="4572000" cy="2743200"/>
            <wp:effectExtent l="0" t="0" r="0" b="0"/>
            <wp:docPr id="60" name=""/>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pPr>
        <w:pStyle w:val="Normal"/>
        <w:spacing w:lineRule="auto" w:line="360" w:before="0" w:after="0"/>
        <w:jc w:val="both"/>
        <w:rPr>
          <w:rFonts w:ascii="Arial" w:hAnsi="Arial" w:cs="Arial"/>
        </w:rPr>
      </w:pPr>
      <w:r>
        <w:rPr>
          <w:rFonts w:cs="Arial" w:ascii="Arial" w:hAnsi="Arial"/>
        </w:rPr>
      </w:r>
    </w:p>
    <w:p>
      <w:pPr>
        <w:pStyle w:val="Normal"/>
        <w:spacing w:lineRule="auto" w:line="360" w:before="0" w:after="0"/>
        <w:ind w:firstLine="708"/>
        <w:jc w:val="both"/>
        <w:rPr>
          <w:rFonts w:ascii="Arial" w:hAnsi="Arial" w:cs="Arial"/>
        </w:rPr>
      </w:pPr>
      <w:r>
        <w:rPr>
          <w:rFonts w:cs="Arial" w:ascii="Arial" w:hAnsi="Arial"/>
        </w:rPr>
        <w:t xml:space="preserve">Biorąc pod uwagę rodzaj wyrobów azbestowych pozostałych na terenie gminy należy stwierdzić, że większość z nich stanowią faliste płyty azbestowo-cementowe stosowane w budownictwie. Zestawienie poszczególnych rodzajów  wyrobów azbestowych zamieszczono </w:t>
        <w:br/>
        <w:t xml:space="preserve">w tabeli poniżej. </w:t>
      </w:r>
    </w:p>
    <w:p>
      <w:pPr>
        <w:pStyle w:val="Normal"/>
        <w:spacing w:lineRule="auto" w:line="240" w:before="0" w:after="0"/>
        <w:rPr>
          <w:rFonts w:ascii="Arial" w:hAnsi="Arial" w:cs="Arial"/>
        </w:rPr>
      </w:pPr>
      <w:r>
        <w:rPr>
          <w:rFonts w:cs="Arial" w:ascii="Arial" w:hAnsi="Arial"/>
        </w:rPr>
      </w:r>
      <w:r>
        <w:br w:type="page"/>
      </w:r>
    </w:p>
    <w:p>
      <w:pPr>
        <w:pStyle w:val="Normal"/>
        <w:spacing w:before="0" w:after="0"/>
        <w:jc w:val="both"/>
        <w:rPr>
          <w:sz w:val="20"/>
          <w:szCs w:val="20"/>
        </w:rPr>
      </w:pPr>
      <w:r>
        <w:rPr>
          <w:sz w:val="20"/>
          <w:szCs w:val="20"/>
        </w:rPr>
      </w:r>
    </w:p>
    <w:p>
      <w:pPr>
        <w:pStyle w:val="Caption"/>
        <w:rPr>
          <w:sz w:val="20"/>
          <w:szCs w:val="20"/>
        </w:rPr>
      </w:pPr>
      <w:r>
        <w:rPr>
          <w:sz w:val="20"/>
          <w:szCs w:val="20"/>
        </w:rPr>
        <w:t xml:space="preserve">Tabela </w:t>
      </w:r>
      <w:r>
        <w:rPr>
          <w:sz w:val="20"/>
          <w:szCs w:val="20"/>
        </w:rPr>
        <w:fldChar w:fldCharType="begin"/>
      </w:r>
      <w:r>
        <w:rPr>
          <w:sz w:val="20"/>
          <w:szCs w:val="20"/>
        </w:rPr>
        <w:instrText> SEQ Tabela \* ARABIC </w:instrText>
      </w:r>
      <w:r>
        <w:rPr>
          <w:sz w:val="20"/>
          <w:szCs w:val="20"/>
        </w:rPr>
        <w:fldChar w:fldCharType="separate"/>
      </w:r>
      <w:r>
        <w:rPr>
          <w:sz w:val="20"/>
          <w:szCs w:val="20"/>
        </w:rPr>
        <w:t>1</w:t>
      </w:r>
      <w:r>
        <w:rPr>
          <w:sz w:val="20"/>
          <w:szCs w:val="20"/>
        </w:rPr>
        <w:fldChar w:fldCharType="end"/>
      </w:r>
      <w:r>
        <w:rPr>
          <w:sz w:val="20"/>
          <w:szCs w:val="20"/>
        </w:rPr>
        <w:t xml:space="preserve">  Rodzaje wyrobów azbestowych pozostających na terenie gminy Mrocza</w:t>
      </w:r>
      <w:bookmarkStart w:id="77" w:name="_Toc19787606"/>
      <w:bookmarkEnd w:id="77"/>
      <w:r>
        <w:rPr>
          <w:rStyle w:val="Zakotwiczenieprzypisudolnego"/>
          <w:rStyle w:val="Zakotwiczenieprzypisudolnego"/>
          <w:sz w:val="20"/>
          <w:szCs w:val="20"/>
        </w:rPr>
        <w:footnoteReference w:id="6"/>
      </w:r>
    </w:p>
    <w:tbl>
      <w:tblPr>
        <w:tblStyle w:val="Tabelasiatki4akcent3"/>
        <w:tblW w:w="9486" w:type="dxa"/>
        <w:jc w:val="left"/>
        <w:tblInd w:w="0" w:type="dxa"/>
        <w:tblCellMar>
          <w:top w:w="0" w:type="dxa"/>
          <w:left w:w="108" w:type="dxa"/>
          <w:bottom w:w="0" w:type="dxa"/>
          <w:right w:w="108" w:type="dxa"/>
        </w:tblCellMar>
        <w:tblLook w:firstRow="1" w:noVBand="1" w:lastRow="0" w:firstColumn="1" w:lastColumn="0" w:noHBand="0" w:val="04a0"/>
      </w:tblPr>
      <w:tblGrid>
        <w:gridCol w:w="6209"/>
        <w:gridCol w:w="3276"/>
      </w:tblGrid>
      <w:tr>
        <w:trPr>
          <w:trHeight w:val="288" w:hRule="atLeast"/>
          <w:cnfStyle w:val="100000000000" w:firstRow="1" w:lastRow="0" w:firstColumn="0" w:lastColumn="0" w:oddVBand="0" w:evenVBand="0" w:oddHBand="0" w:evenHBand="0" w:firstRowFirstColumn="0" w:firstRowLastColumn="0" w:lastRowFirstColumn="0" w:lastRowLastColumn="0"/>
        </w:trPr>
        <w:tc>
          <w:tcPr>
            <w:tcW w:w="6209" w:type="dxa"/>
            <w:cnfStyle w:val="001000000000" w:firstRow="0" w:lastRow="0" w:firstColumn="1" w:lastColumn="0" w:oddVBand="0" w:evenVBand="0" w:oddHBand="0" w:evenHBand="0" w:firstRowFirstColumn="0" w:firstRowLastColumn="0" w:lastRowFirstColumn="0" w:lastRowLastColumn="0"/>
            <w:tcBorders>
              <w:top w:val="single" w:sz="4" w:space="0" w:color="9BBB59"/>
              <w:left w:val="single" w:sz="4" w:space="0" w:color="9BBB59"/>
              <w:bottom w:val="single" w:sz="4" w:space="0" w:color="9BBB59"/>
              <w:right w:val="single" w:sz="4" w:space="0" w:color="9BBB59"/>
              <w:insideH w:val="single" w:sz="4" w:space="0" w:color="9BBB59"/>
              <w:insideV w:val="single" w:sz="4" w:space="0" w:color="9BBB59"/>
            </w:tcBorders>
            <w:shd w:color="auto" w:fill="9BBB59" w:themeFill="accent3" w:val="clear"/>
          </w:tcPr>
          <w:p>
            <w:pPr>
              <w:pStyle w:val="Normal"/>
              <w:spacing w:before="0" w:after="0"/>
              <w:jc w:val="center"/>
              <w:rPr>
                <w:rFonts w:ascii="Arial" w:hAnsi="Arial" w:cs="Arial"/>
                <w:color w:val="auto"/>
                <w:sz w:val="20"/>
                <w:szCs w:val="20"/>
              </w:rPr>
            </w:pPr>
            <w:r>
              <w:rPr>
                <w:rFonts w:cs="Arial" w:ascii="Arial" w:hAnsi="Arial"/>
                <w:b/>
                <w:bCs/>
                <w:color w:val="auto"/>
                <w:sz w:val="20"/>
                <w:szCs w:val="20"/>
              </w:rPr>
              <w:t>Rodzaj wyrobu</w:t>
            </w:r>
          </w:p>
        </w:tc>
        <w:tc>
          <w:tcPr>
            <w:tcW w:w="3276" w:type="dxa"/>
            <w:tcBorders>
              <w:top w:val="single" w:sz="4" w:space="0" w:color="9BBB59"/>
              <w:left w:val="single" w:sz="4" w:space="0" w:color="9BBB59"/>
              <w:bottom w:val="single" w:sz="4" w:space="0" w:color="9BBB59"/>
              <w:right w:val="single" w:sz="4" w:space="0" w:color="9BBB59"/>
              <w:insideH w:val="single" w:sz="4" w:space="0" w:color="9BBB59"/>
              <w:insideV w:val="single" w:sz="4" w:space="0" w:color="9BBB59"/>
            </w:tcBorders>
            <w:shd w:color="auto" w:fill="9BBB59" w:themeFill="accent3" w:val="clear"/>
          </w:tcPr>
          <w:p>
            <w:pPr>
              <w:pStyle w:val="Normal"/>
              <w:spacing w:before="0" w:after="0"/>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0"/>
                <w:szCs w:val="20"/>
              </w:rPr>
            </w:pPr>
            <w:r>
              <w:rPr>
                <w:rFonts w:cs="Arial" w:ascii="Arial" w:hAnsi="Arial"/>
                <w:b/>
                <w:bCs/>
                <w:color w:val="auto"/>
                <w:sz w:val="20"/>
                <w:szCs w:val="20"/>
              </w:rPr>
              <w:t>Masa wyrobów</w:t>
            </w:r>
          </w:p>
          <w:p>
            <w:pPr>
              <w:pStyle w:val="Normal"/>
              <w:spacing w:before="0" w:after="0"/>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0"/>
                <w:szCs w:val="20"/>
              </w:rPr>
            </w:pPr>
            <w:r>
              <w:rPr>
                <w:rFonts w:cs="Arial" w:ascii="Arial" w:hAnsi="Arial"/>
                <w:b/>
                <w:bCs/>
                <w:color w:val="auto"/>
                <w:sz w:val="20"/>
                <w:szCs w:val="20"/>
              </w:rPr>
              <w:t>[Mg]</w:t>
            </w:r>
          </w:p>
        </w:tc>
      </w:tr>
      <w:tr>
        <w:trPr>
          <w:trHeight w:val="288" w:hRule="atLeast"/>
          <w:cnfStyle w:val="000000100000" w:firstRow="0" w:lastRow="0" w:firstColumn="0" w:lastColumn="0" w:oddVBand="0" w:evenVBand="0" w:oddHBand="1" w:evenHBand="0" w:firstRowFirstColumn="0" w:firstRowLastColumn="0" w:lastRowFirstColumn="0" w:lastRowLastColumn="0"/>
        </w:trPr>
        <w:tc>
          <w:tcPr>
            <w:tcW w:w="6209" w:type="dxa"/>
            <w:cnfStyle w:val="001000000000" w:firstRow="0" w:lastRow="0" w:firstColumn="1" w:lastColumn="0" w:oddVBand="0" w:evenVBand="0" w:oddHBand="0" w:evenHBand="0" w:firstRowFirstColumn="0" w:firstRowLastColumn="0" w:lastRowFirstColumn="0" w:lastRowLastColumn="0"/>
            <w:tcBorders/>
            <w:shd w:color="auto" w:fill="EAF1DD" w:themeFill="accent3" w:themeFillTint="33" w:val="clear"/>
          </w:tcPr>
          <w:p>
            <w:pPr>
              <w:pStyle w:val="Normal"/>
              <w:spacing w:before="0" w:after="0"/>
              <w:jc w:val="center"/>
              <w:rPr>
                <w:rFonts w:ascii="Arial" w:hAnsi="Arial" w:cs="Arial"/>
                <w:b w:val="false"/>
                <w:b w:val="false"/>
                <w:sz w:val="20"/>
                <w:szCs w:val="20"/>
              </w:rPr>
            </w:pPr>
            <w:r>
              <w:rPr>
                <w:rFonts w:cs="Arial" w:ascii="Arial" w:hAnsi="Arial"/>
                <w:b w:val="false"/>
                <w:bCs/>
                <w:sz w:val="20"/>
                <w:szCs w:val="20"/>
              </w:rPr>
              <w:t>Płyty azbestowo-cementowe płaskie stosowane w budownictwie</w:t>
            </w:r>
          </w:p>
        </w:tc>
        <w:tc>
          <w:tcPr>
            <w:tcW w:w="3276" w:type="dxa"/>
            <w:tcBorders/>
            <w:shd w:color="auto" w:fill="EAF1DD" w:themeFill="accent3" w:themeFillTint="33" w:val="clear"/>
          </w:tcPr>
          <w:p>
            <w:pPr>
              <w:pStyle w:val="Normal"/>
              <w:spacing w:before="0" w:after="20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cs="Arial" w:ascii="Arial" w:hAnsi="Arial"/>
                <w:sz w:val="20"/>
                <w:szCs w:val="20"/>
              </w:rPr>
              <w:t>4</w:t>
            </w:r>
          </w:p>
        </w:tc>
      </w:tr>
      <w:tr>
        <w:trPr>
          <w:trHeight w:val="288" w:hRule="atLeast"/>
        </w:trPr>
        <w:tc>
          <w:tcPr>
            <w:tcW w:w="6209" w:type="dxa"/>
            <w:cnfStyle w:val="001000000000" w:firstRow="0" w:lastRow="0" w:firstColumn="1" w:lastColumn="0" w:oddVBand="0" w:evenVBand="0" w:oddHBand="0" w:evenHBand="0" w:firstRowFirstColumn="0" w:firstRowLastColumn="0" w:lastRowFirstColumn="0" w:lastRowLastColumn="0"/>
            <w:tcBorders/>
            <w:shd w:fill="auto" w:val="clear"/>
          </w:tcPr>
          <w:p>
            <w:pPr>
              <w:pStyle w:val="Normal"/>
              <w:spacing w:before="0" w:after="0"/>
              <w:jc w:val="center"/>
              <w:rPr>
                <w:rFonts w:ascii="Arial" w:hAnsi="Arial" w:cs="Arial"/>
                <w:b w:val="false"/>
                <w:b w:val="false"/>
                <w:sz w:val="20"/>
                <w:szCs w:val="20"/>
              </w:rPr>
            </w:pPr>
            <w:r>
              <w:rPr>
                <w:rFonts w:cs="Arial" w:ascii="Arial" w:hAnsi="Arial"/>
                <w:b w:val="false"/>
                <w:bCs/>
                <w:sz w:val="20"/>
                <w:szCs w:val="20"/>
              </w:rPr>
              <w:t>Płyty azbestowo-cementowe faliste dla budownictwa</w:t>
            </w:r>
          </w:p>
        </w:tc>
        <w:tc>
          <w:tcPr>
            <w:tcW w:w="3276" w:type="dxa"/>
            <w:tcBorders/>
            <w:shd w:fill="auto" w:val="clear"/>
          </w:tcPr>
          <w:p>
            <w:pPr>
              <w:pStyle w:val="Normal"/>
              <w:spacing w:before="0" w:after="20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cs="Arial" w:ascii="Arial" w:hAnsi="Arial"/>
                <w:sz w:val="20"/>
                <w:szCs w:val="20"/>
              </w:rPr>
              <w:t>3557</w:t>
            </w:r>
          </w:p>
        </w:tc>
      </w:tr>
      <w:tr>
        <w:trPr>
          <w:trHeight w:val="288" w:hRule="atLeast"/>
          <w:cnfStyle w:val="000000100000" w:firstRow="0" w:lastRow="0" w:firstColumn="0" w:lastColumn="0" w:oddVBand="0" w:evenVBand="0" w:oddHBand="1" w:evenHBand="0" w:firstRowFirstColumn="0" w:firstRowLastColumn="0" w:lastRowFirstColumn="0" w:lastRowLastColumn="0"/>
        </w:trPr>
        <w:tc>
          <w:tcPr>
            <w:tcW w:w="6209" w:type="dxa"/>
            <w:cnfStyle w:val="001000000000" w:firstRow="0" w:lastRow="0" w:firstColumn="1" w:lastColumn="0" w:oddVBand="0" w:evenVBand="0" w:oddHBand="0" w:evenHBand="0" w:firstRowFirstColumn="0" w:firstRowLastColumn="0" w:lastRowFirstColumn="0" w:lastRowLastColumn="0"/>
            <w:tcBorders/>
            <w:shd w:color="auto" w:fill="EAF1DD" w:themeFill="accent3" w:themeFillTint="33" w:val="clear"/>
          </w:tcPr>
          <w:p>
            <w:pPr>
              <w:pStyle w:val="Normal"/>
              <w:spacing w:before="0" w:after="0"/>
              <w:jc w:val="center"/>
              <w:rPr>
                <w:rFonts w:ascii="Arial" w:hAnsi="Arial" w:cs="Arial"/>
                <w:b w:val="false"/>
                <w:b w:val="false"/>
                <w:sz w:val="20"/>
                <w:szCs w:val="20"/>
              </w:rPr>
            </w:pPr>
            <w:r>
              <w:rPr>
                <w:rFonts w:cs="Arial" w:ascii="Arial" w:hAnsi="Arial"/>
                <w:b w:val="false"/>
                <w:bCs/>
                <w:sz w:val="20"/>
                <w:szCs w:val="20"/>
              </w:rPr>
              <w:t xml:space="preserve">Rury azbestowo-cementowe </w:t>
            </w:r>
          </w:p>
        </w:tc>
        <w:tc>
          <w:tcPr>
            <w:tcW w:w="3276" w:type="dxa"/>
            <w:tcBorders/>
            <w:shd w:color="auto" w:fill="EAF1DD" w:themeFill="accent3" w:themeFillTint="33" w:val="clear"/>
          </w:tcPr>
          <w:p>
            <w:pPr>
              <w:pStyle w:val="Normal"/>
              <w:spacing w:before="0" w:after="20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cs="Arial" w:ascii="Arial" w:hAnsi="Arial"/>
                <w:sz w:val="20"/>
                <w:szCs w:val="20"/>
              </w:rPr>
              <w:t>476</w:t>
            </w:r>
          </w:p>
        </w:tc>
      </w:tr>
      <w:tr>
        <w:trPr>
          <w:trHeight w:val="288" w:hRule="atLeast"/>
        </w:trPr>
        <w:tc>
          <w:tcPr>
            <w:tcW w:w="6209" w:type="dxa"/>
            <w:cnfStyle w:val="001000000000" w:firstRow="0" w:lastRow="0" w:firstColumn="1" w:lastColumn="0" w:oddVBand="0" w:evenVBand="0" w:oddHBand="0" w:evenHBand="0" w:firstRowFirstColumn="0" w:firstRowLastColumn="0" w:lastRowFirstColumn="0" w:lastRowLastColumn="0"/>
            <w:tcBorders/>
            <w:shd w:fill="auto" w:val="clear"/>
          </w:tcPr>
          <w:p>
            <w:pPr>
              <w:pStyle w:val="Normal"/>
              <w:spacing w:before="0" w:after="0"/>
              <w:jc w:val="center"/>
              <w:rPr>
                <w:rFonts w:ascii="Arial" w:hAnsi="Arial" w:cs="Arial"/>
                <w:sz w:val="20"/>
                <w:szCs w:val="20"/>
              </w:rPr>
            </w:pPr>
            <w:r>
              <w:rPr>
                <w:rFonts w:cs="Arial" w:ascii="Arial" w:hAnsi="Arial"/>
                <w:b/>
                <w:bCs/>
                <w:sz w:val="20"/>
                <w:szCs w:val="20"/>
              </w:rPr>
              <w:t>Razem</w:t>
            </w:r>
          </w:p>
        </w:tc>
        <w:tc>
          <w:tcPr>
            <w:tcW w:w="3276" w:type="dxa"/>
            <w:tcBorders/>
            <w:shd w:fill="auto" w:val="clear"/>
          </w:tcPr>
          <w:p>
            <w:pPr>
              <w:pStyle w:val="Normal"/>
              <w:spacing w:before="0" w:after="200"/>
              <w:jc w:val="center"/>
              <w:cnfStyle w:val="000000000000" w:firstRow="0" w:lastRow="0" w:firstColumn="0" w:lastColumn="0" w:oddVBand="0" w:evenVBand="0" w:oddHBand="0" w:evenHBand="0" w:firstRowFirstColumn="0" w:firstRowLastColumn="0" w:lastRowFirstColumn="0" w:lastRowLastColumn="0"/>
              <w:rPr>
                <w:rFonts w:ascii="Arial" w:hAnsi="Arial" w:cs="Arial"/>
                <w:b/>
                <w:b/>
                <w:sz w:val="20"/>
                <w:szCs w:val="20"/>
              </w:rPr>
            </w:pPr>
            <w:r>
              <w:rPr>
                <w:rFonts w:cs="Arial" w:ascii="Arial" w:hAnsi="Arial"/>
                <w:b/>
                <w:sz w:val="20"/>
                <w:szCs w:val="20"/>
              </w:rPr>
              <w:t>4 037</w:t>
            </w:r>
          </w:p>
        </w:tc>
      </w:tr>
    </w:tbl>
    <w:p>
      <w:pPr>
        <w:pStyle w:val="Caption"/>
        <w:rPr/>
      </w:pPr>
      <w:r>
        <w:rPr/>
      </w:r>
    </w:p>
    <w:p>
      <w:pPr>
        <w:pStyle w:val="Normal"/>
        <w:spacing w:lineRule="auto" w:line="360" w:before="0" w:after="0"/>
        <w:ind w:firstLine="709"/>
        <w:jc w:val="both"/>
        <w:rPr>
          <w:rFonts w:ascii="Arial" w:hAnsi="Arial" w:cs="Arial"/>
        </w:rPr>
      </w:pPr>
      <w:r>
        <w:rPr>
          <w:rFonts w:cs="Arial" w:ascii="Arial" w:hAnsi="Arial"/>
        </w:rPr>
        <w:t xml:space="preserve">Biorąc pod uwagę strukturę własnościową obiektów, w których lub na których zlokalizowane są wyroby azbestowe należy stwierdzić, że w większości należą one do osób fizycznych (57% masy wszystkich wyrobów zawierających azbest pozostałych na terenie gminy). </w:t>
      </w:r>
    </w:p>
    <w:p>
      <w:pPr>
        <w:pStyle w:val="Normal"/>
        <w:spacing w:before="0" w:after="0"/>
        <w:jc w:val="both"/>
        <w:rPr/>
      </w:pPr>
      <w:r>
        <w:rPr/>
      </w:r>
    </w:p>
    <w:p>
      <w:pPr>
        <w:pStyle w:val="Caption"/>
        <w:rPr>
          <w:sz w:val="20"/>
          <w:szCs w:val="20"/>
        </w:rPr>
      </w:pPr>
      <w:bookmarkStart w:id="78" w:name="_Hlk529274484"/>
      <w:r>
        <w:rPr>
          <w:sz w:val="20"/>
          <w:szCs w:val="20"/>
        </w:rPr>
        <w:t xml:space="preserve">Tabela </w:t>
      </w:r>
      <w:r>
        <w:rPr>
          <w:sz w:val="20"/>
          <w:szCs w:val="20"/>
        </w:rPr>
        <w:fldChar w:fldCharType="begin"/>
      </w:r>
      <w:r>
        <w:rPr>
          <w:sz w:val="20"/>
          <w:szCs w:val="20"/>
        </w:rPr>
        <w:instrText> SEQ Tabela \* ARABIC </w:instrText>
      </w:r>
      <w:r>
        <w:rPr>
          <w:sz w:val="20"/>
          <w:szCs w:val="20"/>
        </w:rPr>
        <w:fldChar w:fldCharType="separate"/>
      </w:r>
      <w:r>
        <w:rPr>
          <w:sz w:val="20"/>
          <w:szCs w:val="20"/>
        </w:rPr>
        <w:t>2</w:t>
      </w:r>
      <w:r>
        <w:rPr>
          <w:sz w:val="20"/>
          <w:szCs w:val="20"/>
        </w:rPr>
        <w:fldChar w:fldCharType="end"/>
      </w:r>
      <w:r>
        <w:rPr>
          <w:sz w:val="20"/>
          <w:szCs w:val="20"/>
        </w:rPr>
        <w:t xml:space="preserve"> Ilości </w:t>
      </w:r>
      <w:bookmarkEnd w:id="78"/>
      <w:r>
        <w:rPr>
          <w:sz w:val="20"/>
          <w:szCs w:val="20"/>
        </w:rPr>
        <w:t xml:space="preserve">wyrobów zawierających azbest zlokalizowanych na terenie gminy Mrocza według formy własności </w:t>
      </w:r>
      <w:bookmarkStart w:id="79" w:name="_Toc19787607"/>
      <w:bookmarkEnd w:id="79"/>
      <w:r>
        <w:rPr>
          <w:rStyle w:val="Zakotwiczenieprzypisudolnego"/>
          <w:rStyle w:val="Zakotwiczenieprzypisudolnego"/>
          <w:sz w:val="20"/>
          <w:szCs w:val="20"/>
        </w:rPr>
        <w:footnoteReference w:id="7"/>
      </w:r>
    </w:p>
    <w:tbl>
      <w:tblPr>
        <w:tblStyle w:val="Tabelasiatki4akcent31"/>
        <w:tblW w:w="5060" w:type="dxa"/>
        <w:jc w:val="center"/>
        <w:tblInd w:w="0" w:type="dxa"/>
        <w:tblCellMar>
          <w:top w:w="0" w:type="dxa"/>
          <w:left w:w="108" w:type="dxa"/>
          <w:bottom w:w="0" w:type="dxa"/>
          <w:right w:w="108" w:type="dxa"/>
        </w:tblCellMar>
        <w:tblLook w:firstRow="1" w:noVBand="1" w:lastRow="0" w:firstColumn="1" w:lastColumn="0" w:noHBand="0" w:val="04a0"/>
      </w:tblPr>
      <w:tblGrid>
        <w:gridCol w:w="1077"/>
        <w:gridCol w:w="1922"/>
        <w:gridCol w:w="2061"/>
      </w:tblGrid>
      <w:tr>
        <w:trPr>
          <w:trHeight w:val="597" w:hRule="atLeast"/>
          <w:cnfStyle w:val="100000000000" w:firstRow="1" w:lastRow="0" w:firstColumn="0" w:lastColumn="0" w:oddVBand="0" w:evenVBand="0" w:oddHBand="0" w:evenHBand="0" w:firstRowFirstColumn="0" w:firstRowLastColumn="0" w:lastRowFirstColumn="0" w:lastRowLastColumn="0"/>
        </w:trPr>
        <w:tc>
          <w:tcPr>
            <w:tcW w:w="1077" w:type="dxa"/>
            <w:cnfStyle w:val="001000000000" w:firstRow="0" w:lastRow="0" w:firstColumn="1" w:lastColumn="0" w:oddVBand="0" w:evenVBand="0" w:oddHBand="0" w:evenHBand="0" w:firstRowFirstColumn="0" w:firstRowLastColumn="0" w:lastRowFirstColumn="0" w:lastRowLastColumn="0"/>
            <w:tcBorders>
              <w:top w:val="single" w:sz="4" w:space="0" w:color="9BBB59"/>
              <w:left w:val="single" w:sz="4" w:space="0" w:color="9BBB59"/>
              <w:bottom w:val="single" w:sz="4" w:space="0" w:color="9BBB59"/>
              <w:right w:val="single" w:sz="4" w:space="0" w:color="9BBB59"/>
              <w:insideH w:val="single" w:sz="4" w:space="0" w:color="9BBB59"/>
              <w:insideV w:val="single" w:sz="4" w:space="0" w:color="9BBB59"/>
            </w:tcBorders>
            <w:shd w:color="auto" w:fill="9BBB59" w:themeFill="accent3" w:val="clear"/>
          </w:tcPr>
          <w:p>
            <w:pPr>
              <w:pStyle w:val="Normal"/>
              <w:spacing w:lineRule="auto" w:line="240" w:before="0" w:after="0"/>
              <w:jc w:val="center"/>
              <w:rPr>
                <w:rFonts w:ascii="Arial" w:hAnsi="Arial" w:cs="Arial"/>
                <w:bCs w:val="false"/>
                <w:color w:val="000000"/>
                <w:sz w:val="20"/>
                <w:szCs w:val="20"/>
              </w:rPr>
            </w:pPr>
            <w:r>
              <w:rPr>
                <w:rFonts w:cs="Arial" w:ascii="Arial" w:hAnsi="Arial"/>
                <w:b/>
                <w:bCs w:val="false"/>
                <w:color w:val="000000"/>
                <w:sz w:val="20"/>
                <w:szCs w:val="20"/>
              </w:rPr>
              <w:t>Lp.</w:t>
            </w:r>
          </w:p>
        </w:tc>
        <w:tc>
          <w:tcPr>
            <w:tcW w:w="1922" w:type="dxa"/>
            <w:tcBorders>
              <w:top w:val="single" w:sz="4" w:space="0" w:color="9BBB59"/>
              <w:left w:val="single" w:sz="4" w:space="0" w:color="9BBB59"/>
              <w:bottom w:val="single" w:sz="4" w:space="0" w:color="9BBB59"/>
              <w:right w:val="single" w:sz="4" w:space="0" w:color="9BBB59"/>
              <w:insideH w:val="single" w:sz="4" w:space="0" w:color="9BBB59"/>
              <w:insideV w:val="single" w:sz="4" w:space="0" w:color="9BBB59"/>
            </w:tcBorders>
            <w:shd w:color="auto" w:fill="9BBB59" w:themeFill="accent3" w:val="clear"/>
          </w:tcPr>
          <w:p>
            <w:pPr>
              <w:pStyle w:val="Normal"/>
              <w:spacing w:lineRule="auto" w:line="240" w:before="0" w:after="0"/>
              <w:jc w:val="center"/>
              <w:cnfStyle w:val="100000000000" w:firstRow="1" w:lastRow="0" w:firstColumn="0" w:lastColumn="0" w:oddVBand="0" w:evenVBand="0" w:oddHBand="0" w:evenHBand="0" w:firstRowFirstColumn="0" w:firstRowLastColumn="0" w:lastRowFirstColumn="0" w:lastRowLastColumn="0"/>
              <w:rPr>
                <w:rFonts w:ascii="Arial" w:hAnsi="Arial" w:cs="Arial"/>
                <w:bCs w:val="false"/>
                <w:color w:val="000000"/>
                <w:sz w:val="20"/>
                <w:szCs w:val="20"/>
              </w:rPr>
            </w:pPr>
            <w:r>
              <w:rPr>
                <w:rFonts w:cs="Arial" w:ascii="Arial" w:hAnsi="Arial"/>
                <w:b/>
                <w:bCs w:val="false"/>
                <w:color w:val="000000"/>
                <w:sz w:val="20"/>
                <w:szCs w:val="20"/>
              </w:rPr>
              <w:t>własność</w:t>
            </w:r>
          </w:p>
        </w:tc>
        <w:tc>
          <w:tcPr>
            <w:tcW w:w="2061" w:type="dxa"/>
            <w:tcBorders>
              <w:top w:val="single" w:sz="4" w:space="0" w:color="9BBB59"/>
              <w:left w:val="single" w:sz="4" w:space="0" w:color="9BBB59"/>
              <w:bottom w:val="single" w:sz="4" w:space="0" w:color="9BBB59"/>
              <w:right w:val="single" w:sz="4" w:space="0" w:color="9BBB59"/>
              <w:insideH w:val="single" w:sz="4" w:space="0" w:color="9BBB59"/>
              <w:insideV w:val="single" w:sz="4" w:space="0" w:color="9BBB59"/>
            </w:tcBorders>
            <w:shd w:color="auto" w:fill="9BBB59" w:themeFill="accent3" w:val="clear"/>
          </w:tcPr>
          <w:p>
            <w:pPr>
              <w:pStyle w:val="Normal"/>
              <w:spacing w:lineRule="auto" w:line="240" w:before="0"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false"/>
                <w:b w:val="false"/>
                <w:bCs w:val="false"/>
                <w:color w:val="000000"/>
                <w:sz w:val="20"/>
                <w:szCs w:val="20"/>
              </w:rPr>
            </w:pPr>
            <w:r>
              <w:rPr>
                <w:rFonts w:cs="Arial" w:ascii="Arial" w:hAnsi="Arial"/>
                <w:b/>
                <w:bCs w:val="false"/>
                <w:color w:val="000000"/>
                <w:sz w:val="20"/>
                <w:szCs w:val="20"/>
              </w:rPr>
              <w:t xml:space="preserve">ilość </w:t>
            </w:r>
          </w:p>
          <w:p>
            <w:pPr>
              <w:pStyle w:val="Normal"/>
              <w:spacing w:lineRule="auto" w:line="240" w:before="0"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false"/>
                <w:b w:val="false"/>
                <w:color w:val="000000"/>
                <w:sz w:val="20"/>
                <w:szCs w:val="20"/>
              </w:rPr>
            </w:pPr>
            <w:r>
              <w:rPr>
                <w:rFonts w:cs="Arial" w:ascii="Arial" w:hAnsi="Arial"/>
                <w:b/>
                <w:bCs w:val="false"/>
                <w:color w:val="000000"/>
                <w:sz w:val="20"/>
                <w:szCs w:val="20"/>
              </w:rPr>
              <w:t>[Mg ]</w:t>
            </w:r>
          </w:p>
        </w:tc>
      </w:tr>
      <w:tr>
        <w:trPr>
          <w:trHeight w:val="360" w:hRule="atLeast"/>
          <w:cnfStyle w:val="000000100000" w:firstRow="0" w:lastRow="0" w:firstColumn="0" w:lastColumn="0" w:oddVBand="0" w:evenVBand="0" w:oddHBand="1" w:evenHBand="0" w:firstRowFirstColumn="0" w:firstRowLastColumn="0" w:lastRowFirstColumn="0" w:lastRowLastColumn="0"/>
        </w:trPr>
        <w:tc>
          <w:tcPr>
            <w:tcW w:w="1077" w:type="dxa"/>
            <w:cnfStyle w:val="001000000000" w:firstRow="0" w:lastRow="0" w:firstColumn="1" w:lastColumn="0" w:oddVBand="0" w:evenVBand="0" w:oddHBand="0" w:evenHBand="0" w:firstRowFirstColumn="0" w:firstRowLastColumn="0" w:lastRowFirstColumn="0" w:lastRowLastColumn="0"/>
            <w:tcBorders/>
            <w:shd w:color="auto" w:fill="EAF1DD" w:themeFill="accent3" w:themeFillTint="33" w:val="clear"/>
          </w:tcPr>
          <w:p>
            <w:pPr>
              <w:pStyle w:val="Normal"/>
              <w:spacing w:lineRule="auto" w:line="240" w:before="0" w:after="0"/>
              <w:jc w:val="center"/>
              <w:rPr>
                <w:rFonts w:ascii="Arial" w:hAnsi="Arial" w:cs="Arial"/>
                <w:bCs w:val="false"/>
                <w:color w:val="000000"/>
                <w:sz w:val="20"/>
                <w:szCs w:val="20"/>
              </w:rPr>
            </w:pPr>
            <w:r>
              <w:rPr>
                <w:rFonts w:cs="Arial" w:ascii="Arial" w:hAnsi="Arial"/>
                <w:b/>
                <w:bCs w:val="false"/>
                <w:color w:val="000000"/>
                <w:sz w:val="20"/>
                <w:szCs w:val="20"/>
              </w:rPr>
              <w:t>1.</w:t>
            </w:r>
          </w:p>
        </w:tc>
        <w:tc>
          <w:tcPr>
            <w:tcW w:w="1922" w:type="dxa"/>
            <w:tcBorders/>
            <w:shd w:color="auto" w:fill="EAF1DD" w:themeFill="accent3" w:themeFillTint="33" w:val="clear"/>
          </w:tcPr>
          <w:p>
            <w:pPr>
              <w:pStyle w:val="Normal"/>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
                <w:color w:val="000000"/>
                <w:sz w:val="20"/>
                <w:szCs w:val="20"/>
              </w:rPr>
            </w:pPr>
            <w:r>
              <w:rPr>
                <w:rFonts w:cs="Arial" w:ascii="Arial" w:hAnsi="Arial"/>
                <w:b/>
                <w:color w:val="000000"/>
                <w:sz w:val="20"/>
                <w:szCs w:val="20"/>
              </w:rPr>
              <w:t>osoby prawne</w:t>
            </w:r>
          </w:p>
        </w:tc>
        <w:tc>
          <w:tcPr>
            <w:tcW w:w="2061" w:type="dxa"/>
            <w:tcBorders/>
            <w:shd w:color="auto" w:fill="EAF1DD" w:themeFill="accent3" w:themeFillTint="33" w:val="clear"/>
          </w:tcPr>
          <w:p>
            <w:pPr>
              <w:pStyle w:val="Normal"/>
              <w:spacing w:before="0"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
                <w:sz w:val="20"/>
                <w:szCs w:val="20"/>
              </w:rPr>
            </w:pPr>
            <w:r>
              <w:rPr>
                <w:rFonts w:cs="Arial" w:ascii="Arial" w:hAnsi="Arial"/>
                <w:b/>
                <w:sz w:val="20"/>
                <w:szCs w:val="20"/>
              </w:rPr>
              <w:t>1 731</w:t>
            </w:r>
          </w:p>
        </w:tc>
      </w:tr>
      <w:tr>
        <w:trPr>
          <w:trHeight w:val="360" w:hRule="atLeast"/>
        </w:trPr>
        <w:tc>
          <w:tcPr>
            <w:tcW w:w="1077" w:type="dxa"/>
            <w:cnfStyle w:val="001000000000" w:firstRow="0" w:lastRow="0" w:firstColumn="1" w:lastColumn="0" w:oddVBand="0" w:evenVBand="0" w:oddHBand="0" w:evenHBand="0" w:firstRowFirstColumn="0" w:firstRowLastColumn="0" w:lastRowFirstColumn="0" w:lastRowLastColumn="0"/>
            <w:tcBorders/>
            <w:shd w:fill="auto" w:val="clear"/>
          </w:tcPr>
          <w:p>
            <w:pPr>
              <w:pStyle w:val="Normal"/>
              <w:spacing w:lineRule="auto" w:line="240" w:before="0" w:after="0"/>
              <w:jc w:val="center"/>
              <w:rPr>
                <w:rFonts w:ascii="Arial" w:hAnsi="Arial" w:cs="Arial"/>
                <w:bCs w:val="false"/>
                <w:color w:val="000000"/>
                <w:sz w:val="20"/>
                <w:szCs w:val="20"/>
              </w:rPr>
            </w:pPr>
            <w:r>
              <w:rPr>
                <w:rFonts w:cs="Arial" w:ascii="Arial" w:hAnsi="Arial"/>
                <w:b/>
                <w:bCs w:val="false"/>
                <w:color w:val="000000"/>
                <w:sz w:val="20"/>
                <w:szCs w:val="20"/>
              </w:rPr>
              <w:t>2.</w:t>
            </w:r>
          </w:p>
        </w:tc>
        <w:tc>
          <w:tcPr>
            <w:tcW w:w="1922" w:type="dxa"/>
            <w:tcBorders/>
            <w:shd w:fill="auto" w:val="clear"/>
          </w:tcPr>
          <w:p>
            <w:pPr>
              <w:pStyle w:val="Normal"/>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Arial" w:hAnsi="Arial" w:cs="Arial"/>
                <w:b/>
                <w:b/>
                <w:color w:val="000000"/>
                <w:sz w:val="20"/>
                <w:szCs w:val="20"/>
              </w:rPr>
            </w:pPr>
            <w:r>
              <w:rPr>
                <w:rFonts w:cs="Arial" w:ascii="Arial" w:hAnsi="Arial"/>
                <w:b/>
                <w:color w:val="000000"/>
                <w:sz w:val="20"/>
                <w:szCs w:val="20"/>
              </w:rPr>
              <w:t>osoby fizyczne</w:t>
            </w:r>
          </w:p>
        </w:tc>
        <w:tc>
          <w:tcPr>
            <w:tcW w:w="2061" w:type="dxa"/>
            <w:tcBorders/>
            <w:shd w:fill="auto" w:val="clear"/>
          </w:tcPr>
          <w:p>
            <w:pPr>
              <w:pStyle w:val="Normal"/>
              <w:spacing w:before="0" w:after="0"/>
              <w:jc w:val="center"/>
              <w:cnfStyle w:val="000000000000" w:firstRow="0" w:lastRow="0" w:firstColumn="0" w:lastColumn="0" w:oddVBand="0" w:evenVBand="0" w:oddHBand="0" w:evenHBand="0" w:firstRowFirstColumn="0" w:firstRowLastColumn="0" w:lastRowFirstColumn="0" w:lastRowLastColumn="0"/>
              <w:rPr>
                <w:rFonts w:ascii="Arial" w:hAnsi="Arial" w:cs="Arial"/>
                <w:b/>
                <w:b/>
                <w:sz w:val="20"/>
                <w:szCs w:val="20"/>
              </w:rPr>
            </w:pPr>
            <w:r>
              <w:rPr>
                <w:rFonts w:cs="Arial" w:ascii="Arial" w:hAnsi="Arial"/>
                <w:b/>
                <w:sz w:val="20"/>
                <w:szCs w:val="20"/>
              </w:rPr>
              <w:t>2 306</w:t>
            </w:r>
          </w:p>
        </w:tc>
      </w:tr>
      <w:tr>
        <w:trPr>
          <w:trHeight w:val="536" w:hRule="atLeast"/>
          <w:cnfStyle w:val="000000100000" w:firstRow="0" w:lastRow="0" w:firstColumn="0" w:lastColumn="0" w:oddVBand="0" w:evenVBand="0" w:oddHBand="1" w:evenHBand="0" w:firstRowFirstColumn="0" w:firstRowLastColumn="0" w:lastRowFirstColumn="0" w:lastRowLastColumn="0"/>
        </w:trPr>
        <w:tc>
          <w:tcPr>
            <w:tcW w:w="2999" w:type="dxa"/>
            <w:gridSpan w:val="2"/>
            <w:cnfStyle w:val="001000000000" w:firstRow="0" w:lastRow="0" w:firstColumn="1" w:lastColumn="0" w:oddVBand="0" w:evenVBand="0" w:oddHBand="0" w:evenHBand="0" w:firstRowFirstColumn="0" w:firstRowLastColumn="0" w:lastRowFirstColumn="0" w:lastRowLastColumn="0"/>
            <w:tcBorders/>
            <w:shd w:color="auto" w:fill="EAF1DD" w:themeFill="accent3" w:themeFillTint="33" w:val="clear"/>
          </w:tcPr>
          <w:p>
            <w:pPr>
              <w:pStyle w:val="Normal"/>
              <w:spacing w:lineRule="auto" w:line="240" w:before="0" w:after="0"/>
              <w:jc w:val="center"/>
              <w:rPr>
                <w:rFonts w:ascii="Arial" w:hAnsi="Arial" w:cs="Arial"/>
                <w:bCs w:val="false"/>
                <w:color w:val="000000"/>
                <w:sz w:val="20"/>
                <w:szCs w:val="20"/>
              </w:rPr>
            </w:pPr>
            <w:r>
              <w:rPr>
                <w:rFonts w:cs="Arial" w:ascii="Arial" w:hAnsi="Arial"/>
                <w:b/>
                <w:bCs w:val="false"/>
                <w:color w:val="000000"/>
                <w:sz w:val="20"/>
                <w:szCs w:val="20"/>
              </w:rPr>
              <w:t>RAZEM</w:t>
            </w:r>
          </w:p>
        </w:tc>
        <w:tc>
          <w:tcPr>
            <w:tcW w:w="2061" w:type="dxa"/>
            <w:tcBorders/>
            <w:shd w:color="auto" w:fill="EAF1DD" w:themeFill="accent3" w:themeFillTint="33" w:val="clear"/>
          </w:tcPr>
          <w:p>
            <w:pPr>
              <w:pStyle w:val="Normal"/>
              <w:spacing w:before="0"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
                <w:sz w:val="20"/>
                <w:szCs w:val="20"/>
              </w:rPr>
            </w:pPr>
            <w:r>
              <w:rPr>
                <w:rFonts w:cs="Arial" w:ascii="Arial" w:hAnsi="Arial"/>
                <w:b/>
                <w:sz w:val="20"/>
                <w:szCs w:val="20"/>
              </w:rPr>
              <w:t>4 037</w:t>
            </w:r>
          </w:p>
        </w:tc>
      </w:tr>
    </w:tbl>
    <w:p>
      <w:pPr>
        <w:pStyle w:val="Normal"/>
        <w:spacing w:before="0" w:after="0"/>
        <w:jc w:val="both"/>
        <w:rPr>
          <w:b/>
          <w:b/>
        </w:rPr>
      </w:pPr>
      <w:r>
        <w:rPr>
          <w:b/>
        </w:rPr>
      </w:r>
    </w:p>
    <w:p>
      <w:pPr>
        <w:pStyle w:val="Normal"/>
        <w:spacing w:lineRule="auto" w:line="240" w:before="0" w:after="0"/>
        <w:rPr/>
      </w:pPr>
      <w:r>
        <w:rPr/>
      </w:r>
      <w:r>
        <w:br w:type="page"/>
      </w:r>
    </w:p>
    <w:p>
      <w:pPr>
        <w:pStyle w:val="Normal"/>
        <w:spacing w:before="0" w:after="0"/>
        <w:jc w:val="both"/>
        <w:rPr/>
      </w:pPr>
      <w:r>
        <w:rPr/>
      </w:r>
    </w:p>
    <w:p>
      <w:pPr>
        <w:pStyle w:val="Normal"/>
        <w:spacing w:lineRule="auto" w:line="360"/>
        <w:rPr/>
      </w:pPr>
      <w:r>
        <w:rPr>
          <w:rFonts w:cs="Arial" w:ascii="Arial" w:hAnsi="Arial"/>
        </w:rPr>
        <w:t>Stan techniczny wyrobów zawierających azbest pozostających na terenie gminy obrazuje poniższa tabela</w:t>
      </w:r>
      <w:r>
        <w:rPr/>
        <w:t xml:space="preserve">. </w:t>
      </w:r>
    </w:p>
    <w:p>
      <w:pPr>
        <w:pStyle w:val="Caption"/>
        <w:rPr>
          <w:sz w:val="20"/>
          <w:szCs w:val="20"/>
        </w:rPr>
      </w:pPr>
      <w:r>
        <w:rPr>
          <w:sz w:val="20"/>
          <w:szCs w:val="20"/>
        </w:rPr>
        <w:t xml:space="preserve">Tabela </w:t>
      </w:r>
      <w:r>
        <w:rPr>
          <w:sz w:val="20"/>
          <w:szCs w:val="20"/>
        </w:rPr>
        <w:fldChar w:fldCharType="begin"/>
      </w:r>
      <w:r>
        <w:rPr>
          <w:sz w:val="20"/>
          <w:szCs w:val="20"/>
        </w:rPr>
        <w:instrText> SEQ Tabela \* ARABIC </w:instrText>
      </w:r>
      <w:r>
        <w:rPr>
          <w:sz w:val="20"/>
          <w:szCs w:val="20"/>
        </w:rPr>
        <w:fldChar w:fldCharType="separate"/>
      </w:r>
      <w:r>
        <w:rPr>
          <w:sz w:val="20"/>
          <w:szCs w:val="20"/>
        </w:rPr>
        <w:t>3</w:t>
      </w:r>
      <w:r>
        <w:rPr>
          <w:sz w:val="20"/>
          <w:szCs w:val="20"/>
        </w:rPr>
        <w:fldChar w:fldCharType="end"/>
      </w:r>
      <w:r>
        <w:rPr>
          <w:sz w:val="20"/>
          <w:szCs w:val="20"/>
        </w:rPr>
        <w:t xml:space="preserve"> Ocena stanu technicznego wyrobów zawierających azbest w obiektach będących własnością osób fizycznych i prawnych, zlokalizowanych na terenie Gminy Mrocza</w:t>
      </w:r>
      <w:bookmarkStart w:id="80" w:name="_Toc19787608"/>
      <w:bookmarkEnd w:id="80"/>
      <w:r>
        <w:rPr>
          <w:rStyle w:val="Zakotwiczenieprzypisudolnego"/>
          <w:rStyle w:val="Zakotwiczenieprzypisudolnego"/>
          <w:sz w:val="20"/>
          <w:szCs w:val="20"/>
        </w:rPr>
        <w:footnoteReference w:id="8"/>
      </w:r>
    </w:p>
    <w:tbl>
      <w:tblPr>
        <w:tblW w:w="4600" w:type="dxa"/>
        <w:jc w:val="center"/>
        <w:tblInd w:w="0" w:type="dxa"/>
        <w:tblBorders>
          <w:top w:val="single" w:sz="8" w:space="0" w:color="4F81BD"/>
          <w:bottom w:val="single" w:sz="8" w:space="0" w:color="4F81BD"/>
          <w:insideH w:val="single" w:sz="8" w:space="0" w:color="4F81BD"/>
        </w:tblBorders>
        <w:tblCellMar>
          <w:top w:w="0" w:type="dxa"/>
          <w:left w:w="108" w:type="dxa"/>
          <w:bottom w:w="0" w:type="dxa"/>
          <w:right w:w="108" w:type="dxa"/>
        </w:tblCellMar>
        <w:tblLook w:firstRow="1" w:noVBand="1" w:lastRow="0" w:firstColumn="1" w:lastColumn="0" w:noHBand="0" w:val="04a0"/>
      </w:tblPr>
      <w:tblGrid>
        <w:gridCol w:w="2518"/>
        <w:gridCol w:w="2081"/>
      </w:tblGrid>
      <w:tr>
        <w:trPr>
          <w:trHeight w:val="1215" w:hRule="atLeast"/>
        </w:trPr>
        <w:tc>
          <w:tcPr>
            <w:tcW w:w="2518" w:type="dxa"/>
            <w:tcBorders>
              <w:top w:val="single" w:sz="8" w:space="0" w:color="4F81BD"/>
              <w:bottom w:val="single" w:sz="8" w:space="0" w:color="4F81BD"/>
              <w:insideH w:val="single" w:sz="8" w:space="0" w:color="4F81BD"/>
            </w:tcBorders>
            <w:shd w:fill="auto" w:val="clear"/>
            <w:vAlign w:val="center"/>
          </w:tcPr>
          <w:p>
            <w:pPr>
              <w:pStyle w:val="Normal"/>
              <w:spacing w:lineRule="auto" w:line="240" w:before="0" w:after="0"/>
              <w:jc w:val="center"/>
              <w:rPr>
                <w:rFonts w:ascii="Arial" w:hAnsi="Arial" w:cs="Arial"/>
                <w:b/>
                <w:b/>
                <w:bCs/>
                <w:color w:val="000000"/>
                <w:sz w:val="20"/>
                <w:szCs w:val="20"/>
              </w:rPr>
            </w:pPr>
            <w:r>
              <w:rPr>
                <w:rFonts w:cs="Arial" w:ascii="Arial" w:hAnsi="Arial"/>
                <w:b/>
                <w:bCs/>
                <w:color w:val="000000"/>
                <w:sz w:val="20"/>
                <w:szCs w:val="20"/>
              </w:rPr>
              <w:t>stopień pilności</w:t>
            </w:r>
          </w:p>
        </w:tc>
        <w:tc>
          <w:tcPr>
            <w:tcW w:w="2081" w:type="dxa"/>
            <w:tcBorders>
              <w:top w:val="single" w:sz="8" w:space="0" w:color="4F81BD"/>
              <w:bottom w:val="single" w:sz="8" w:space="0" w:color="4F81BD"/>
              <w:insideH w:val="single" w:sz="8" w:space="0" w:color="4F81BD"/>
            </w:tcBorders>
            <w:shd w:fill="auto" w:val="clear"/>
            <w:vAlign w:val="center"/>
          </w:tcPr>
          <w:p>
            <w:pPr>
              <w:pStyle w:val="Normal"/>
              <w:spacing w:lineRule="auto" w:line="240" w:before="0" w:after="0"/>
              <w:jc w:val="center"/>
              <w:rPr>
                <w:rFonts w:ascii="Arial" w:hAnsi="Arial" w:cs="Arial"/>
                <w:b/>
                <w:b/>
                <w:bCs/>
                <w:color w:val="000000"/>
                <w:sz w:val="20"/>
                <w:szCs w:val="20"/>
              </w:rPr>
            </w:pPr>
            <w:r>
              <w:rPr>
                <w:rFonts w:cs="Arial" w:ascii="Arial" w:hAnsi="Arial"/>
                <w:b/>
                <w:bCs/>
                <w:color w:val="000000"/>
                <w:sz w:val="20"/>
                <w:szCs w:val="20"/>
              </w:rPr>
              <w:t xml:space="preserve">ilość wyrobów zawierających azbest </w:t>
            </w:r>
          </w:p>
          <w:p>
            <w:pPr>
              <w:pStyle w:val="Normal"/>
              <w:spacing w:lineRule="auto" w:line="240" w:before="0" w:after="0"/>
              <w:jc w:val="center"/>
              <w:rPr>
                <w:rFonts w:ascii="Arial" w:hAnsi="Arial" w:cs="Arial"/>
                <w:b/>
                <w:b/>
                <w:bCs/>
                <w:color w:val="000000"/>
                <w:sz w:val="20"/>
                <w:szCs w:val="20"/>
              </w:rPr>
            </w:pPr>
            <w:r>
              <w:rPr>
                <w:rFonts w:cs="Arial" w:ascii="Arial" w:hAnsi="Arial"/>
                <w:b/>
                <w:bCs/>
                <w:color w:val="000000"/>
                <w:sz w:val="20"/>
                <w:szCs w:val="20"/>
              </w:rPr>
              <w:t>[Mg]</w:t>
            </w:r>
          </w:p>
        </w:tc>
      </w:tr>
      <w:tr>
        <w:trPr>
          <w:trHeight w:val="630" w:hRule="atLeast"/>
        </w:trPr>
        <w:tc>
          <w:tcPr>
            <w:tcW w:w="2518" w:type="dxa"/>
            <w:tcBorders>
              <w:top w:val="single" w:sz="8" w:space="0" w:color="4F81BD"/>
              <w:bottom w:val="single" w:sz="8" w:space="0" w:color="4F81BD"/>
              <w:insideH w:val="single" w:sz="8" w:space="0" w:color="4F81BD"/>
            </w:tcBorders>
            <w:shd w:color="auto" w:fill="D3DFEE" w:val="clear"/>
            <w:vAlign w:val="center"/>
          </w:tcPr>
          <w:p>
            <w:pPr>
              <w:pStyle w:val="Normal"/>
              <w:spacing w:lineRule="auto" w:line="240" w:before="0" w:after="0"/>
              <w:jc w:val="center"/>
              <w:rPr>
                <w:rFonts w:ascii="Arial" w:hAnsi="Arial" w:cs="Arial"/>
                <w:b/>
                <w:b/>
                <w:bCs/>
                <w:color w:val="000000"/>
                <w:sz w:val="20"/>
                <w:szCs w:val="20"/>
              </w:rPr>
            </w:pPr>
            <w:r>
              <w:rPr>
                <w:rFonts w:cs="Arial" w:ascii="Arial" w:hAnsi="Arial"/>
                <w:b/>
                <w:bCs/>
                <w:color w:val="000000"/>
                <w:sz w:val="20"/>
                <w:szCs w:val="20"/>
              </w:rPr>
              <w:t>I stopień pilności</w:t>
            </w:r>
          </w:p>
        </w:tc>
        <w:tc>
          <w:tcPr>
            <w:tcW w:w="2081" w:type="dxa"/>
            <w:tcBorders>
              <w:top w:val="single" w:sz="8" w:space="0" w:color="4F81BD"/>
              <w:bottom w:val="single" w:sz="8" w:space="0" w:color="4F81BD"/>
              <w:insideH w:val="single" w:sz="8" w:space="0" w:color="4F81BD"/>
            </w:tcBorders>
            <w:shd w:color="auto" w:fill="D3DFEE" w:val="clear"/>
            <w:vAlign w:val="center"/>
          </w:tcPr>
          <w:p>
            <w:pPr>
              <w:pStyle w:val="Normal"/>
              <w:spacing w:before="0" w:after="200"/>
              <w:jc w:val="center"/>
              <w:rPr>
                <w:b/>
                <w:b/>
              </w:rPr>
            </w:pPr>
            <w:r>
              <w:rPr>
                <w:b/>
              </w:rPr>
              <w:t>956</w:t>
            </w:r>
          </w:p>
        </w:tc>
      </w:tr>
      <w:tr>
        <w:trPr>
          <w:trHeight w:val="615" w:hRule="atLeast"/>
        </w:trPr>
        <w:tc>
          <w:tcPr>
            <w:tcW w:w="2518" w:type="dxa"/>
            <w:tcBorders>
              <w:top w:val="single" w:sz="8" w:space="0" w:color="4F81BD"/>
              <w:bottom w:val="single" w:sz="8" w:space="0" w:color="4F81BD"/>
              <w:insideH w:val="single" w:sz="8" w:space="0" w:color="4F81BD"/>
            </w:tcBorders>
            <w:shd w:fill="auto" w:val="clear"/>
            <w:vAlign w:val="center"/>
          </w:tcPr>
          <w:p>
            <w:pPr>
              <w:pStyle w:val="Normal"/>
              <w:spacing w:lineRule="auto" w:line="240" w:before="0" w:after="0"/>
              <w:jc w:val="center"/>
              <w:rPr>
                <w:rFonts w:ascii="Arial" w:hAnsi="Arial" w:cs="Arial"/>
                <w:b/>
                <w:b/>
                <w:bCs/>
                <w:color w:val="000000"/>
                <w:sz w:val="20"/>
                <w:szCs w:val="20"/>
              </w:rPr>
            </w:pPr>
            <w:r>
              <w:rPr>
                <w:rFonts w:cs="Arial" w:ascii="Arial" w:hAnsi="Arial"/>
                <w:b/>
                <w:bCs/>
                <w:color w:val="000000"/>
                <w:sz w:val="20"/>
                <w:szCs w:val="20"/>
              </w:rPr>
              <w:t>II stopień pilności</w:t>
            </w:r>
          </w:p>
        </w:tc>
        <w:tc>
          <w:tcPr>
            <w:tcW w:w="2081" w:type="dxa"/>
            <w:tcBorders>
              <w:top w:val="single" w:sz="8" w:space="0" w:color="4F81BD"/>
              <w:bottom w:val="single" w:sz="8" w:space="0" w:color="4F81BD"/>
              <w:insideH w:val="single" w:sz="8" w:space="0" w:color="4F81BD"/>
            </w:tcBorders>
            <w:shd w:fill="auto" w:val="clear"/>
            <w:vAlign w:val="center"/>
          </w:tcPr>
          <w:p>
            <w:pPr>
              <w:pStyle w:val="Normal"/>
              <w:spacing w:before="0" w:after="200"/>
              <w:jc w:val="center"/>
              <w:rPr>
                <w:b/>
                <w:b/>
              </w:rPr>
            </w:pPr>
            <w:r>
              <w:rPr>
                <w:b/>
              </w:rPr>
              <w:t>130</w:t>
            </w:r>
          </w:p>
        </w:tc>
      </w:tr>
      <w:tr>
        <w:trPr>
          <w:trHeight w:val="615" w:hRule="atLeast"/>
        </w:trPr>
        <w:tc>
          <w:tcPr>
            <w:tcW w:w="2518" w:type="dxa"/>
            <w:tcBorders>
              <w:top w:val="single" w:sz="8" w:space="0" w:color="4F81BD"/>
              <w:bottom w:val="single" w:sz="8" w:space="0" w:color="4F81BD"/>
              <w:insideH w:val="single" w:sz="8" w:space="0" w:color="4F81BD"/>
            </w:tcBorders>
            <w:shd w:color="auto" w:fill="D3DFEE" w:val="clear"/>
            <w:vAlign w:val="center"/>
          </w:tcPr>
          <w:p>
            <w:pPr>
              <w:pStyle w:val="Normal"/>
              <w:spacing w:lineRule="auto" w:line="240" w:before="0" w:after="0"/>
              <w:jc w:val="center"/>
              <w:rPr>
                <w:rFonts w:ascii="Arial" w:hAnsi="Arial" w:cs="Arial"/>
                <w:b/>
                <w:b/>
                <w:bCs/>
                <w:color w:val="000000"/>
                <w:sz w:val="20"/>
                <w:szCs w:val="20"/>
              </w:rPr>
            </w:pPr>
            <w:r>
              <w:rPr>
                <w:rFonts w:cs="Arial" w:ascii="Arial" w:hAnsi="Arial"/>
                <w:b/>
                <w:bCs/>
                <w:color w:val="000000"/>
                <w:sz w:val="20"/>
                <w:szCs w:val="20"/>
              </w:rPr>
              <w:t>III stopień pilności</w:t>
            </w:r>
          </w:p>
        </w:tc>
        <w:tc>
          <w:tcPr>
            <w:tcW w:w="2081" w:type="dxa"/>
            <w:tcBorders>
              <w:top w:val="single" w:sz="8" w:space="0" w:color="4F81BD"/>
              <w:bottom w:val="single" w:sz="8" w:space="0" w:color="4F81BD"/>
              <w:insideH w:val="single" w:sz="8" w:space="0" w:color="4F81BD"/>
            </w:tcBorders>
            <w:shd w:color="auto" w:fill="D3DFEE" w:val="clear"/>
            <w:vAlign w:val="center"/>
          </w:tcPr>
          <w:p>
            <w:pPr>
              <w:pStyle w:val="Normal"/>
              <w:spacing w:before="0" w:after="200"/>
              <w:jc w:val="center"/>
              <w:rPr>
                <w:b/>
                <w:b/>
              </w:rPr>
            </w:pPr>
            <w:r>
              <w:rPr>
                <w:b/>
              </w:rPr>
              <w:t>2951</w:t>
            </w:r>
          </w:p>
        </w:tc>
      </w:tr>
      <w:tr>
        <w:trPr>
          <w:trHeight w:val="691" w:hRule="atLeast"/>
        </w:trPr>
        <w:tc>
          <w:tcPr>
            <w:tcW w:w="2518" w:type="dxa"/>
            <w:tcBorders>
              <w:top w:val="single" w:sz="8" w:space="0" w:color="4F81BD"/>
              <w:bottom w:val="single" w:sz="8" w:space="0" w:color="4F81BD"/>
              <w:insideH w:val="single" w:sz="8" w:space="0" w:color="4F81BD"/>
            </w:tcBorders>
            <w:shd w:fill="auto" w:val="clear"/>
            <w:vAlign w:val="center"/>
          </w:tcPr>
          <w:p>
            <w:pPr>
              <w:pStyle w:val="Normal"/>
              <w:spacing w:lineRule="auto" w:line="240" w:before="0" w:after="0"/>
              <w:jc w:val="center"/>
              <w:rPr>
                <w:rFonts w:ascii="Arial" w:hAnsi="Arial" w:cs="Arial"/>
                <w:b/>
                <w:b/>
                <w:bCs/>
                <w:color w:val="000000"/>
                <w:sz w:val="20"/>
                <w:szCs w:val="20"/>
              </w:rPr>
            </w:pPr>
            <w:r>
              <w:rPr>
                <w:rFonts w:cs="Arial" w:ascii="Arial" w:hAnsi="Arial"/>
                <w:b/>
                <w:bCs/>
                <w:color w:val="000000"/>
                <w:sz w:val="20"/>
                <w:szCs w:val="20"/>
              </w:rPr>
              <w:t>RAZEM</w:t>
            </w:r>
          </w:p>
        </w:tc>
        <w:tc>
          <w:tcPr>
            <w:tcW w:w="2081" w:type="dxa"/>
            <w:tcBorders>
              <w:top w:val="single" w:sz="8" w:space="0" w:color="4F81BD"/>
              <w:bottom w:val="single" w:sz="8" w:space="0" w:color="4F81BD"/>
              <w:insideH w:val="single" w:sz="8" w:space="0" w:color="4F81BD"/>
            </w:tcBorders>
            <w:shd w:fill="auto" w:val="clear"/>
            <w:vAlign w:val="center"/>
          </w:tcPr>
          <w:p>
            <w:pPr>
              <w:pStyle w:val="Normal"/>
              <w:spacing w:before="0" w:after="200"/>
              <w:jc w:val="center"/>
              <w:rPr>
                <w:b/>
                <w:b/>
              </w:rPr>
            </w:pPr>
            <w:r>
              <w:rPr>
                <w:b/>
              </w:rPr>
              <w:t>4037</w:t>
            </w:r>
          </w:p>
        </w:tc>
      </w:tr>
    </w:tbl>
    <w:p>
      <w:pPr>
        <w:pStyle w:val="Normal"/>
        <w:spacing w:lineRule="auto" w:line="360" w:before="0" w:after="0"/>
        <w:jc w:val="both"/>
        <w:rPr>
          <w:rFonts w:ascii="Arial" w:hAnsi="Arial" w:cs="Arial"/>
          <w:sz w:val="20"/>
          <w:szCs w:val="20"/>
        </w:rPr>
      </w:pPr>
      <w:r>
        <w:rPr>
          <w:rFonts w:cs="Arial" w:ascii="Arial" w:hAnsi="Arial"/>
          <w:sz w:val="20"/>
          <w:szCs w:val="20"/>
        </w:rPr>
      </w:r>
    </w:p>
    <w:p>
      <w:pPr>
        <w:pStyle w:val="Normal"/>
        <w:jc w:val="center"/>
        <w:rPr/>
      </w:pPr>
      <w:r>
        <w:rPr/>
      </w:r>
    </w:p>
    <w:p>
      <w:pPr>
        <w:pStyle w:val="Normal"/>
        <w:spacing w:lineRule="auto" w:line="360" w:before="0" w:after="0"/>
        <w:ind w:firstLine="709"/>
        <w:jc w:val="both"/>
        <w:rPr>
          <w:rFonts w:ascii="Arial" w:hAnsi="Arial" w:cs="Arial"/>
        </w:rPr>
      </w:pPr>
      <w:r>
        <w:rPr>
          <w:rFonts w:cs="Arial" w:ascii="Arial" w:hAnsi="Arial"/>
        </w:rPr>
        <w:t>Z zestawień zamieszczonych powyżej wynika, że najwięcej, bo ok. 24</w:t>
      </w:r>
      <w:r>
        <w:rPr>
          <w:rFonts w:cs="Arial" w:ascii="Arial" w:hAnsi="Arial"/>
          <w:b/>
        </w:rPr>
        <w:t xml:space="preserve">% </w:t>
      </w:r>
      <w:r>
        <w:rPr>
          <w:rFonts w:cs="Arial" w:ascii="Arial" w:hAnsi="Arial"/>
        </w:rPr>
        <w:t xml:space="preserve">wyrobów zawierających azbest zlokalizowanych na terenie gminy Mrocza  należy do I stopnia pilności, natomiast ok. </w:t>
      </w:r>
      <w:r>
        <w:rPr>
          <w:rFonts w:cs="Arial" w:ascii="Arial" w:hAnsi="Arial"/>
          <w:b/>
        </w:rPr>
        <w:t>3%</w:t>
      </w:r>
      <w:r>
        <w:rPr>
          <w:rFonts w:cs="Arial" w:ascii="Arial" w:hAnsi="Arial"/>
        </w:rPr>
        <w:t xml:space="preserve"> wyrobów to stopień II. Wyroby o III stopniu pilności stanowią ok. </w:t>
      </w:r>
      <w:r>
        <w:rPr>
          <w:rFonts w:cs="Arial" w:ascii="Arial" w:hAnsi="Arial"/>
          <w:b/>
        </w:rPr>
        <w:t>73%.</w:t>
      </w:r>
    </w:p>
    <w:p>
      <w:pPr>
        <w:pStyle w:val="Normal"/>
        <w:spacing w:lineRule="auto" w:line="360" w:before="0" w:after="0"/>
        <w:jc w:val="both"/>
        <w:rPr>
          <w:rFonts w:ascii="Arial" w:hAnsi="Arial" w:cs="Arial"/>
        </w:rPr>
      </w:pPr>
      <w:r>
        <w:rPr>
          <w:rFonts w:cs="Arial" w:ascii="Arial" w:hAnsi="Arial"/>
        </w:rPr>
        <w:t xml:space="preserve">Oznacza to, iż: </w:t>
      </w:r>
    </w:p>
    <w:p>
      <w:pPr>
        <w:pStyle w:val="ListParagraph"/>
        <w:numPr>
          <w:ilvl w:val="0"/>
          <w:numId w:val="53"/>
        </w:numPr>
        <w:spacing w:lineRule="auto" w:line="360" w:before="0" w:after="0"/>
        <w:contextualSpacing/>
        <w:jc w:val="both"/>
        <w:rPr>
          <w:rFonts w:ascii="Arial" w:hAnsi="Arial" w:cs="Arial"/>
        </w:rPr>
      </w:pPr>
      <w:r>
        <w:rPr>
          <w:rFonts w:cs="Arial" w:ascii="Arial" w:hAnsi="Arial"/>
          <w:b/>
        </w:rPr>
        <w:t>24 %</w:t>
      </w:r>
      <w:r>
        <w:rPr>
          <w:rFonts w:cs="Arial" w:ascii="Arial" w:hAnsi="Arial"/>
        </w:rPr>
        <w:t xml:space="preserve"> wyrobów należy usunąć w trybie natychmiastowym,</w:t>
      </w:r>
    </w:p>
    <w:p>
      <w:pPr>
        <w:pStyle w:val="ListParagraph"/>
        <w:numPr>
          <w:ilvl w:val="0"/>
          <w:numId w:val="53"/>
        </w:numPr>
        <w:spacing w:lineRule="auto" w:line="360" w:before="0" w:after="0"/>
        <w:contextualSpacing/>
        <w:jc w:val="both"/>
        <w:rPr>
          <w:rFonts w:ascii="Arial" w:hAnsi="Arial" w:cs="Arial"/>
          <w:color w:val="000000"/>
        </w:rPr>
      </w:pPr>
      <w:r>
        <w:rPr>
          <w:rFonts w:cs="Arial" w:ascii="Arial" w:hAnsi="Arial"/>
          <w:b/>
        </w:rPr>
        <w:t>3 %</w:t>
      </w:r>
      <w:r>
        <w:rPr>
          <w:rFonts w:cs="Arial" w:ascii="Arial" w:hAnsi="Arial"/>
        </w:rPr>
        <w:t xml:space="preserve"> wyrobów nadaje się do użytkowania i wymaga ponownej oceny w terminie </w:t>
      </w:r>
      <w:r>
        <w:rPr>
          <w:rFonts w:cs="Arial" w:ascii="Arial" w:hAnsi="Arial"/>
          <w:color w:val="000000"/>
        </w:rPr>
        <w:t xml:space="preserve">do roku od ich ostatniej oceny. </w:t>
      </w:r>
    </w:p>
    <w:p>
      <w:pPr>
        <w:pStyle w:val="ListParagraph"/>
        <w:numPr>
          <w:ilvl w:val="0"/>
          <w:numId w:val="53"/>
        </w:numPr>
        <w:spacing w:lineRule="auto" w:line="360" w:before="0" w:after="0"/>
        <w:contextualSpacing/>
        <w:jc w:val="both"/>
        <w:rPr>
          <w:rFonts w:ascii="Arial" w:hAnsi="Arial" w:cs="Arial"/>
        </w:rPr>
      </w:pPr>
      <w:r>
        <w:rPr>
          <w:rFonts w:cs="Arial" w:ascii="Arial" w:hAnsi="Arial"/>
          <w:b/>
          <w:color w:val="000000"/>
        </w:rPr>
        <w:t>73%</w:t>
      </w:r>
      <w:r>
        <w:rPr>
          <w:rFonts w:cs="Arial" w:ascii="Arial" w:hAnsi="Arial"/>
          <w:color w:val="000000"/>
        </w:rPr>
        <w:t xml:space="preserve"> wyrobów </w:t>
      </w:r>
      <w:r>
        <w:rPr>
          <w:rFonts w:cs="Arial" w:ascii="Arial" w:hAnsi="Arial"/>
        </w:rPr>
        <w:t xml:space="preserve">nadaje się do użytkowania i wymaga ponownej oceny </w:t>
      </w:r>
      <w:r>
        <w:rPr>
          <w:rFonts w:cs="Arial" w:ascii="Arial" w:hAnsi="Arial"/>
          <w:color w:val="000000"/>
        </w:rPr>
        <w:t xml:space="preserve">do 5 lat od wykonania ich ostatniej oceny. </w:t>
      </w:r>
    </w:p>
    <w:p>
      <w:pPr>
        <w:pStyle w:val="Nagwek1"/>
        <w:rPr>
          <w:sz w:val="24"/>
          <w:szCs w:val="24"/>
        </w:rPr>
      </w:pPr>
      <w:bookmarkStart w:id="81" w:name="_Toc20296877"/>
      <w:bookmarkStart w:id="82" w:name="_Toc197863503"/>
      <w:bookmarkStart w:id="83" w:name="_Toc197863652"/>
      <w:bookmarkStart w:id="84" w:name="_Toc197863685"/>
      <w:bookmarkStart w:id="85" w:name="_Toc278442759"/>
      <w:bookmarkStart w:id="86" w:name="_Toc327780816"/>
      <w:bookmarkStart w:id="87" w:name="_Toc330505321"/>
      <w:bookmarkStart w:id="88" w:name="_Toc331346081"/>
      <w:bookmarkStart w:id="89" w:name="_Toc334432856"/>
      <w:bookmarkEnd w:id="82"/>
      <w:bookmarkEnd w:id="83"/>
      <w:bookmarkEnd w:id="84"/>
      <w:bookmarkEnd w:id="85"/>
      <w:bookmarkEnd w:id="86"/>
      <w:bookmarkEnd w:id="87"/>
      <w:bookmarkEnd w:id="88"/>
      <w:bookmarkEnd w:id="89"/>
      <w:r>
        <w:rPr>
          <w:sz w:val="24"/>
          <w:szCs w:val="24"/>
        </w:rPr>
        <w:t>5.3. Mapy zagrożenia działania azbestem</w:t>
      </w:r>
      <w:bookmarkEnd w:id="81"/>
      <w:r>
        <w:rPr>
          <w:sz w:val="24"/>
          <w:szCs w:val="24"/>
        </w:rPr>
        <w:t xml:space="preserve"> </w:t>
      </w:r>
    </w:p>
    <w:p>
      <w:pPr>
        <w:pStyle w:val="Normal"/>
        <w:spacing w:lineRule="auto" w:line="360"/>
        <w:ind w:firstLine="708"/>
        <w:rPr>
          <w:rFonts w:ascii="Arial" w:hAnsi="Arial" w:cs="Arial"/>
        </w:rPr>
      </w:pPr>
      <w:r>
        <w:rPr>
          <w:rFonts w:cs="Arial" w:ascii="Arial" w:hAnsi="Arial"/>
        </w:rPr>
        <w:t>Rozmieszczenie wyrobów azbestowych na ternie kraju obrazuje narzędzie GeoAzbest</w:t>
      </w:r>
      <w:r>
        <w:rPr>
          <w:rStyle w:val="Zakotwiczenieprzypisudolnego"/>
          <w:rStyle w:val="Zakotwiczenieprzypisudolnego"/>
          <w:rFonts w:cs="Arial" w:ascii="Arial" w:hAnsi="Arial"/>
        </w:rPr>
        <w:footnoteReference w:id="9"/>
      </w:r>
      <w:r>
        <w:rPr>
          <w:rFonts w:cs="Arial" w:ascii="Arial" w:hAnsi="Arial"/>
        </w:rPr>
        <w:t xml:space="preserve"> - Elektroniczny System Informacji Przestrzennej (ESIP) do monitorowania procesu usuwania azbestu i wyrobów zawierających azbest prowadzony przez Ministerstwo Przedsiębiorczości i technologii. </w:t>
      </w:r>
    </w:p>
    <w:p>
      <w:pPr>
        <w:pStyle w:val="Normal"/>
        <w:spacing w:lineRule="auto" w:line="360"/>
        <w:ind w:firstLine="708"/>
        <w:rPr>
          <w:rFonts w:ascii="Arial" w:hAnsi="Arial" w:cs="Arial"/>
        </w:rPr>
      </w:pPr>
      <w:r>
        <w:rPr>
          <w:rFonts w:cs="Arial" w:ascii="Arial" w:hAnsi="Arial"/>
        </w:rPr>
        <w:t xml:space="preserve">GeoAzbest integruje dane z Bazy Azbestowej (BA) z danymi przestrzennymi. Celem działania Systemu Informacji Przestrzennej jest przetwarzanie danych, w których zawarte są informacje przestrzenne oraz towarzyszące im informacje opisowe o lokalizacjach użytkowania wyrobów zawierających azbest bądź składowania odpadów azbestowych. Dostęp do narzędzia GeoAzbest jest bezpłatny poprzez stronę internetową. </w:t>
      </w:r>
    </w:p>
    <w:p>
      <w:pPr>
        <w:pStyle w:val="Caption"/>
        <w:rPr>
          <w:rFonts w:cs="Arial"/>
          <w:sz w:val="22"/>
          <w:szCs w:val="22"/>
        </w:rPr>
      </w:pPr>
      <w:r>
        <w:rPr/>
        <w:t xml:space="preserve">Rysunek </w:t>
      </w:r>
      <w:r>
        <w:rPr/>
        <w:fldChar w:fldCharType="begin"/>
      </w:r>
      <w:r>
        <w:rPr/>
        <w:instrText> SEQ Rysunek \* ARABIC </w:instrText>
      </w:r>
      <w:r>
        <w:rPr/>
        <w:fldChar w:fldCharType="separate"/>
      </w:r>
      <w:r>
        <w:rPr/>
        <w:t>3</w:t>
      </w:r>
      <w:r>
        <w:rPr/>
        <w:fldChar w:fldCharType="end"/>
      </w:r>
      <w:r>
        <w:rPr/>
        <w:t xml:space="preserve"> Rozmieszczenie wyrobów zawierających azbest na terenie gminy Mrocza </w:t>
      </w:r>
      <w:bookmarkStart w:id="90" w:name="_Toc19785223"/>
      <w:bookmarkEnd w:id="90"/>
      <w:r>
        <w:rPr>
          <w:rStyle w:val="Zakotwiczenieprzypisudolnego"/>
          <w:rStyle w:val="Zakotwiczenieprzypisudolnego"/>
        </w:rPr>
        <w:footnoteReference w:id="10"/>
      </w:r>
    </w:p>
    <w:p>
      <w:pPr>
        <w:pStyle w:val="Normal"/>
        <w:rPr/>
      </w:pPr>
      <w:r>
        <w:rPr/>
        <w:drawing>
          <wp:inline distT="0" distB="0" distL="0" distR="0">
            <wp:extent cx="6029960" cy="3432175"/>
            <wp:effectExtent l="0" t="0" r="0" b="0"/>
            <wp:docPr id="61" name="Obraz 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43" descr=""/>
                    <pic:cNvPicPr>
                      <a:picLocks noChangeAspect="1" noChangeArrowheads="1"/>
                    </pic:cNvPicPr>
                  </pic:nvPicPr>
                  <pic:blipFill>
                    <a:blip r:embed="rId50"/>
                    <a:stretch>
                      <a:fillRect/>
                    </a:stretch>
                  </pic:blipFill>
                  <pic:spPr bwMode="auto">
                    <a:xfrm>
                      <a:off x="0" y="0"/>
                      <a:ext cx="6029960" cy="3432175"/>
                    </a:xfrm>
                    <a:prstGeom prst="rect">
                      <a:avLst/>
                    </a:prstGeom>
                  </pic:spPr>
                </pic:pic>
              </a:graphicData>
            </a:graphic>
          </wp:inline>
        </w:drawing>
      </w:r>
    </w:p>
    <w:p>
      <w:pPr>
        <w:pStyle w:val="Normal"/>
        <w:rPr/>
      </w:pPr>
      <w:r>
        <w:rPr/>
      </w:r>
    </w:p>
    <w:p>
      <w:pPr>
        <w:pStyle w:val="Normal"/>
        <w:rPr/>
      </w:pPr>
      <w:r>
        <w:rPr/>
      </w:r>
    </w:p>
    <w:p>
      <w:pPr>
        <w:pStyle w:val="Nagwek2"/>
        <w:jc w:val="both"/>
        <w:rPr>
          <w:rFonts w:cs="Arial"/>
        </w:rPr>
      </w:pPr>
      <w:bookmarkStart w:id="91" w:name="_Toc20296878"/>
      <w:r>
        <w:rPr/>
        <w:t xml:space="preserve">5.4. Kierunki i możliwości utylizacji odpadów zawierających azbest na terenie gminy </w:t>
      </w:r>
      <w:r>
        <w:rPr>
          <w:rFonts w:cs="Arial"/>
        </w:rPr>
        <w:t>Mrocza</w:t>
      </w:r>
      <w:bookmarkEnd w:id="91"/>
      <w:r>
        <w:rPr>
          <w:rFonts w:cs="Arial"/>
        </w:rPr>
        <w:t xml:space="preserve"> </w:t>
      </w:r>
    </w:p>
    <w:p>
      <w:pPr>
        <w:pStyle w:val="Caption"/>
        <w:jc w:val="center"/>
        <w:rPr/>
      </w:pPr>
      <w:r>
        <w:rPr/>
      </w:r>
    </w:p>
    <w:p>
      <w:pPr>
        <w:pStyle w:val="Normal"/>
        <w:spacing w:lineRule="auto" w:line="360"/>
        <w:ind w:firstLine="708"/>
        <w:jc w:val="both"/>
        <w:rPr>
          <w:rFonts w:ascii="Arial" w:hAnsi="Arial" w:cs="Arial"/>
        </w:rPr>
      </w:pPr>
      <w:r>
        <w:rPr>
          <w:rFonts w:cs="Arial" w:ascii="Arial" w:hAnsi="Arial"/>
        </w:rPr>
        <w:t>Nie przewiduje się wzrostu ilości wyrobów zawierających azbest na terenie gminy z uwagi na obecny całkowity zakaz ich stosowania oraz możliwości skorzystania z dotacji na usuwanie wyrobów zawierających azbest.</w:t>
      </w:r>
    </w:p>
    <w:p>
      <w:pPr>
        <w:pStyle w:val="Normal"/>
        <w:spacing w:lineRule="auto" w:line="360"/>
        <w:ind w:firstLine="708"/>
        <w:jc w:val="both"/>
        <w:rPr>
          <w:rFonts w:ascii="Arial" w:hAnsi="Arial" w:cs="Arial"/>
        </w:rPr>
      </w:pPr>
      <w:r>
        <w:rPr>
          <w:rFonts w:cs="Arial" w:ascii="Arial" w:hAnsi="Arial"/>
          <w:i/>
          <w:iCs/>
        </w:rPr>
        <w:t>Rozporządzenie Ministra Środowiska z dnia 9 grudnia 2014 r. – w sprawie katalogu odpadów</w:t>
      </w:r>
      <w:r>
        <w:rPr>
          <w:rFonts w:cs="Arial" w:ascii="Arial" w:hAnsi="Arial"/>
          <w:i/>
        </w:rPr>
        <w:t xml:space="preserve"> (Dz. U. 2014 , poz. 1923)</w:t>
      </w:r>
      <w:r>
        <w:rPr>
          <w:rFonts w:cs="Arial" w:ascii="Arial" w:hAnsi="Arial"/>
        </w:rPr>
        <w:t xml:space="preserve"> zamieszcza rodzaje odpadów zawierających azbest na liście odpadów niebezpiecznych w wymienionych niżej grupach i podgrupach z przypisanym kodem klasyfikacyjnym:</w:t>
      </w:r>
    </w:p>
    <w:p>
      <w:pPr>
        <w:pStyle w:val="Normal"/>
        <w:numPr>
          <w:ilvl w:val="0"/>
          <w:numId w:val="31"/>
        </w:numPr>
        <w:spacing w:lineRule="auto" w:line="360" w:before="0" w:after="0"/>
        <w:jc w:val="both"/>
        <w:rPr>
          <w:rFonts w:ascii="Arial" w:hAnsi="Arial" w:cs="Arial"/>
        </w:rPr>
      </w:pPr>
      <w:r>
        <w:rPr>
          <w:rFonts w:cs="Arial" w:ascii="Arial" w:hAnsi="Arial"/>
        </w:rPr>
        <w:t>06 07 01* - odpady azbestowe z elektrolizy,</w:t>
      </w:r>
    </w:p>
    <w:p>
      <w:pPr>
        <w:pStyle w:val="Normal"/>
        <w:numPr>
          <w:ilvl w:val="0"/>
          <w:numId w:val="31"/>
        </w:numPr>
        <w:spacing w:lineRule="auto" w:line="360" w:before="0" w:after="0"/>
        <w:jc w:val="both"/>
        <w:rPr>
          <w:rFonts w:ascii="Arial" w:hAnsi="Arial" w:cs="Arial"/>
        </w:rPr>
      </w:pPr>
      <w:r>
        <w:rPr>
          <w:rFonts w:cs="Arial" w:ascii="Arial" w:hAnsi="Arial"/>
        </w:rPr>
        <w:t>06 13 04*- odpady z przetwarzania azbestu,</w:t>
      </w:r>
    </w:p>
    <w:p>
      <w:pPr>
        <w:pStyle w:val="Normal"/>
        <w:numPr>
          <w:ilvl w:val="0"/>
          <w:numId w:val="31"/>
        </w:numPr>
        <w:spacing w:lineRule="auto" w:line="360" w:before="0" w:after="0"/>
        <w:jc w:val="both"/>
        <w:rPr>
          <w:rFonts w:ascii="Arial" w:hAnsi="Arial" w:cs="Arial"/>
        </w:rPr>
      </w:pPr>
      <w:r>
        <w:rPr>
          <w:rFonts w:cs="Arial" w:ascii="Arial" w:hAnsi="Arial"/>
        </w:rPr>
        <w:t>10 11 81* - odpady zawierające azbest (z hutnictwa szkła),</w:t>
      </w:r>
    </w:p>
    <w:p>
      <w:pPr>
        <w:pStyle w:val="Normal"/>
        <w:numPr>
          <w:ilvl w:val="0"/>
          <w:numId w:val="31"/>
        </w:numPr>
        <w:spacing w:lineRule="auto" w:line="360" w:before="0" w:after="0"/>
        <w:jc w:val="both"/>
        <w:rPr>
          <w:rFonts w:ascii="Arial" w:hAnsi="Arial" w:cs="Arial"/>
        </w:rPr>
      </w:pPr>
      <w:r>
        <w:rPr>
          <w:rFonts w:cs="Arial" w:ascii="Arial" w:hAnsi="Arial"/>
        </w:rPr>
        <w:t>10 13 09* - odpady zawierające azbest z produkcji elementów cementowo -azbestowych,</w:t>
      </w:r>
    </w:p>
    <w:p>
      <w:pPr>
        <w:pStyle w:val="Normal"/>
        <w:numPr>
          <w:ilvl w:val="0"/>
          <w:numId w:val="31"/>
        </w:numPr>
        <w:spacing w:lineRule="auto" w:line="360" w:before="0" w:after="0"/>
        <w:jc w:val="both"/>
        <w:rPr>
          <w:rFonts w:ascii="Arial" w:hAnsi="Arial" w:cs="Arial"/>
        </w:rPr>
      </w:pPr>
      <w:r>
        <w:rPr>
          <w:rFonts w:cs="Arial" w:ascii="Arial" w:hAnsi="Arial"/>
        </w:rPr>
        <w:t>15 01 11* - opakowania z metali zawierające niebezpieczne, porowate elementy wzmocnienia konstrukcyjnego (np. azbest) włącznie z pustymi pojemnikami ciśnieniowymi,</w:t>
      </w:r>
    </w:p>
    <w:p>
      <w:pPr>
        <w:pStyle w:val="Normal"/>
        <w:numPr>
          <w:ilvl w:val="0"/>
          <w:numId w:val="31"/>
        </w:numPr>
        <w:spacing w:lineRule="auto" w:line="360" w:before="0" w:after="0"/>
        <w:jc w:val="both"/>
        <w:rPr>
          <w:rFonts w:ascii="Arial" w:hAnsi="Arial" w:cs="Arial"/>
        </w:rPr>
      </w:pPr>
      <w:r>
        <w:rPr>
          <w:rFonts w:cs="Arial" w:ascii="Arial" w:hAnsi="Arial"/>
        </w:rPr>
        <w:t>16 01 11* - okładziny hamulcowe zawierające azbest,</w:t>
      </w:r>
    </w:p>
    <w:p>
      <w:pPr>
        <w:pStyle w:val="Normal"/>
        <w:numPr>
          <w:ilvl w:val="0"/>
          <w:numId w:val="31"/>
        </w:numPr>
        <w:spacing w:lineRule="auto" w:line="360" w:before="0" w:after="0"/>
        <w:jc w:val="both"/>
        <w:rPr>
          <w:rFonts w:ascii="Arial" w:hAnsi="Arial" w:cs="Arial"/>
        </w:rPr>
      </w:pPr>
      <w:r>
        <w:rPr>
          <w:rFonts w:cs="Arial" w:ascii="Arial" w:hAnsi="Arial"/>
        </w:rPr>
        <w:t>16 02 12* -zużyte urządzenia zawierające wolny azbest,</w:t>
      </w:r>
    </w:p>
    <w:p>
      <w:pPr>
        <w:pStyle w:val="Normal"/>
        <w:numPr>
          <w:ilvl w:val="0"/>
          <w:numId w:val="31"/>
        </w:numPr>
        <w:spacing w:lineRule="auto" w:line="360" w:before="0" w:after="0"/>
        <w:jc w:val="both"/>
        <w:rPr>
          <w:rFonts w:ascii="Arial" w:hAnsi="Arial" w:cs="Arial"/>
        </w:rPr>
      </w:pPr>
      <w:r>
        <w:rPr>
          <w:rFonts w:cs="Arial" w:ascii="Arial" w:hAnsi="Arial"/>
        </w:rPr>
        <w:t>17 06 01* - materiały izolacyjne zawierające azbest,</w:t>
      </w:r>
    </w:p>
    <w:p>
      <w:pPr>
        <w:pStyle w:val="Normal"/>
        <w:numPr>
          <w:ilvl w:val="0"/>
          <w:numId w:val="31"/>
        </w:numPr>
        <w:spacing w:lineRule="auto" w:line="360" w:before="0" w:after="0"/>
        <w:jc w:val="both"/>
        <w:rPr>
          <w:rFonts w:ascii="Arial" w:hAnsi="Arial" w:cs="Arial"/>
        </w:rPr>
      </w:pPr>
      <w:r>
        <w:rPr>
          <w:rFonts w:cs="Arial" w:ascii="Arial" w:hAnsi="Arial"/>
        </w:rPr>
        <w:t>17 06 05* - materiały konstrukcyjne zawierające azbest,</w:t>
      </w:r>
    </w:p>
    <w:p>
      <w:pPr>
        <w:pStyle w:val="Normal"/>
        <w:spacing w:lineRule="auto" w:line="360"/>
        <w:jc w:val="both"/>
        <w:rPr>
          <w:rFonts w:ascii="Arial" w:hAnsi="Arial" w:cs="Arial"/>
        </w:rPr>
      </w:pPr>
      <w:r>
        <w:rPr>
          <w:rFonts w:cs="Arial" w:ascii="Arial" w:hAnsi="Arial"/>
        </w:rPr>
        <w:t>Odpady zawierające azbest należą do odpadów niebezpiecznych.</w:t>
      </w:r>
    </w:p>
    <w:p>
      <w:pPr>
        <w:pStyle w:val="Normal"/>
        <w:spacing w:lineRule="auto" w:line="360"/>
        <w:jc w:val="both"/>
        <w:rPr>
          <w:rFonts w:ascii="Arial" w:hAnsi="Arial" w:cs="Arial"/>
        </w:rPr>
      </w:pPr>
      <w:r>
        <w:rPr>
          <w:rFonts w:cs="Arial" w:ascii="Arial" w:hAnsi="Arial"/>
        </w:rPr>
        <w:tab/>
        <w:t>Wyroby zawierające azbest klasyfikowane są w dwóch klasach, które wyróżniono na podstawie:</w:t>
      </w:r>
    </w:p>
    <w:p>
      <w:pPr>
        <w:pStyle w:val="Normal"/>
        <w:numPr>
          <w:ilvl w:val="0"/>
          <w:numId w:val="32"/>
        </w:numPr>
        <w:spacing w:lineRule="auto" w:line="360" w:before="0" w:after="0"/>
        <w:jc w:val="both"/>
        <w:rPr>
          <w:rFonts w:ascii="Arial" w:hAnsi="Arial" w:cs="Arial"/>
        </w:rPr>
      </w:pPr>
      <w:r>
        <w:rPr>
          <w:rFonts w:cs="Arial" w:ascii="Arial" w:hAnsi="Arial"/>
        </w:rPr>
        <w:t>ilości azbestu,</w:t>
      </w:r>
    </w:p>
    <w:p>
      <w:pPr>
        <w:pStyle w:val="Normal"/>
        <w:numPr>
          <w:ilvl w:val="0"/>
          <w:numId w:val="32"/>
        </w:numPr>
        <w:spacing w:lineRule="auto" w:line="360" w:before="0" w:after="0"/>
        <w:jc w:val="both"/>
        <w:rPr>
          <w:rFonts w:ascii="Arial" w:hAnsi="Arial" w:cs="Arial"/>
        </w:rPr>
      </w:pPr>
      <w:r>
        <w:rPr>
          <w:rFonts w:cs="Arial" w:ascii="Arial" w:hAnsi="Arial"/>
        </w:rPr>
        <w:t>stosowanego spoiwa,</w:t>
      </w:r>
    </w:p>
    <w:p>
      <w:pPr>
        <w:pStyle w:val="Normal"/>
        <w:numPr>
          <w:ilvl w:val="0"/>
          <w:numId w:val="32"/>
        </w:numPr>
        <w:spacing w:lineRule="auto" w:line="360" w:before="0" w:after="0"/>
        <w:jc w:val="both"/>
        <w:rPr>
          <w:rFonts w:ascii="Arial" w:hAnsi="Arial" w:cs="Arial"/>
        </w:rPr>
      </w:pPr>
      <w:r>
        <w:rPr>
          <w:rFonts w:cs="Arial" w:ascii="Arial" w:hAnsi="Arial"/>
        </w:rPr>
        <w:t>gęstości objętościowej wyrobu.</w:t>
      </w:r>
    </w:p>
    <w:p>
      <w:pPr>
        <w:pStyle w:val="Normal"/>
        <w:numPr>
          <w:ilvl w:val="0"/>
          <w:numId w:val="32"/>
        </w:numPr>
        <w:spacing w:lineRule="auto" w:line="360" w:before="0" w:after="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b/>
          <w:i/>
        </w:rPr>
        <w:t>Klasa I</w:t>
      </w:r>
      <w:r>
        <w:rPr>
          <w:rFonts w:cs="Arial" w:ascii="Arial" w:hAnsi="Arial"/>
        </w:rPr>
        <w:t xml:space="preserve"> obejmuje wyroby o gęstości objętościowej mniejszej od 1000 kg/m</w:t>
      </w:r>
      <w:r>
        <w:rPr>
          <w:rFonts w:cs="Arial" w:ascii="Arial" w:hAnsi="Arial"/>
          <w:vertAlign w:val="superscript"/>
        </w:rPr>
        <w:t xml:space="preserve">3 </w:t>
      </w:r>
      <w:r>
        <w:rPr>
          <w:rFonts w:cs="Arial" w:ascii="Arial" w:hAnsi="Arial"/>
        </w:rPr>
        <w:t>definiowane jako „miękkie”, zawierające powyżej 20% azbestu. Wyroby te łatwo ulegają uszkodzeniom mechanicznym, czemu towarzyszy znaczna emisja włókien azbestu do otoczenia. Najczęściej stosowanymi w tej klasie były wyroby tekstylne z azbestu, stosowane przez pracowników w celach ochronnych (np. koce gaśnicze, szczeliwa plecione, tektury uszczelkowe m.in. w sprzęcie AGD, płytki podłogowe PCW, materiały i wykładziny cierne).</w:t>
      </w:r>
    </w:p>
    <w:p>
      <w:pPr>
        <w:pStyle w:val="Normal"/>
        <w:spacing w:lineRule="auto" w:line="360"/>
        <w:jc w:val="both"/>
        <w:rPr>
          <w:rFonts w:ascii="Arial" w:hAnsi="Arial" w:cs="Arial"/>
        </w:rPr>
      </w:pPr>
      <w:r>
        <w:rPr>
          <w:rFonts w:cs="Arial" w:ascii="Arial" w:hAnsi="Arial"/>
          <w:b/>
          <w:i/>
        </w:rPr>
        <w:t>Klasa II</w:t>
      </w:r>
      <w:r>
        <w:rPr>
          <w:rFonts w:cs="Arial" w:ascii="Arial" w:hAnsi="Arial"/>
        </w:rPr>
        <w:t xml:space="preserve"> obejmuje wyroby o gęstości objętościowej powyżej 1000 kg/m</w:t>
      </w:r>
      <w:r>
        <w:rPr>
          <w:rFonts w:cs="Arial" w:ascii="Arial" w:hAnsi="Arial"/>
          <w:vertAlign w:val="superscript"/>
        </w:rPr>
        <w:t>3</w:t>
      </w:r>
      <w:r>
        <w:rPr>
          <w:rFonts w:cs="Arial" w:ascii="Arial" w:hAnsi="Arial"/>
        </w:rPr>
        <w:t xml:space="preserve"> definiowane jako „twarde”, zawierające poniżej 20% azbestu. W wyrobach tych włókna azbestowe są mocno związane, a w przypadku mechanicznego uszkodzenia (np. pęknięcia) ma miejsce stosunkowo niewielka emisja azbestu do otoczenia w porównaniu z wyrobami klasy I. Natomiast niebezpieczeństwo dla zdrowia ludzi i środowiska stwarza mechaniczna obróbka tych wyrobów (cięcie, wiercenie otworów) oraz rozbijanie w wyniku zrzucania z wysokości w trakcie prac remontowych. Z zaliczanych do tej klasy wyrobów najbardziej w Polsce rozpowszechnione są płyty azbestowo-cementowe faliste oraz płyty azbestowo-cementowe „karo” stosowane jako pokrycia dachowe, szczególnie na terenach wiejskich, oraz płyty płaskie, wykorzystywane jako elewacje w budownictwie wielokondygnacyjnym na osiedlach miejskich. W znacznie mniejszych ilościach produkowane i stosowane były inne wyroby azbestowo - cementowe, z których należy wymienić przede wszystkim rury służące do wykonywania instalacji wodociągowych i kanalizacyjnych oraz w budownictwie jako przewody kominowe i zsypy.</w:t>
      </w:r>
    </w:p>
    <w:p>
      <w:pPr>
        <w:pStyle w:val="Normal"/>
        <w:spacing w:lineRule="auto" w:line="360"/>
        <w:ind w:firstLine="708"/>
        <w:jc w:val="both"/>
        <w:rPr>
          <w:rFonts w:ascii="Arial" w:hAnsi="Arial" w:cs="Arial"/>
        </w:rPr>
      </w:pPr>
      <w:r>
        <w:rPr>
          <w:rFonts w:cs="Arial" w:ascii="Arial" w:hAnsi="Arial"/>
        </w:rPr>
        <w:t xml:space="preserve">Podstawową metodą unieszkodliwiania odpadów zawierających azbest jest ich bezpieczne składowanie. W zamieszczonej tabeli przedstawiono istniejące w województwie kujawsko – pomorskim składowiska odpadów przyjmujące odpady zawierające azbest. </w:t>
      </w:r>
    </w:p>
    <w:p>
      <w:pPr>
        <w:pStyle w:val="Caption"/>
        <w:keepNext w:val="true"/>
        <w:rPr>
          <w:sz w:val="20"/>
          <w:szCs w:val="20"/>
        </w:rPr>
      </w:pPr>
      <w:r>
        <w:rPr>
          <w:sz w:val="20"/>
          <w:szCs w:val="20"/>
        </w:rPr>
        <w:t xml:space="preserve">Tabela </w:t>
      </w:r>
      <w:r>
        <w:rPr>
          <w:sz w:val="20"/>
          <w:szCs w:val="20"/>
        </w:rPr>
        <w:fldChar w:fldCharType="begin"/>
      </w:r>
      <w:r>
        <w:rPr>
          <w:sz w:val="20"/>
          <w:szCs w:val="20"/>
        </w:rPr>
        <w:instrText> SEQ Tabela \* ARABIC </w:instrText>
      </w:r>
      <w:r>
        <w:rPr>
          <w:sz w:val="20"/>
          <w:szCs w:val="20"/>
        </w:rPr>
        <w:fldChar w:fldCharType="separate"/>
      </w:r>
      <w:r>
        <w:rPr>
          <w:sz w:val="20"/>
          <w:szCs w:val="20"/>
        </w:rPr>
        <w:t>4</w:t>
      </w:r>
      <w:r>
        <w:rPr>
          <w:sz w:val="20"/>
          <w:szCs w:val="20"/>
        </w:rPr>
        <w:fldChar w:fldCharType="end"/>
      </w:r>
      <w:r>
        <w:rPr>
          <w:sz w:val="20"/>
          <w:szCs w:val="20"/>
        </w:rPr>
        <w:t xml:space="preserve"> Składowiska na terenie województwa kujawsko-pomorskiego  przyjmujące do składowania odpady zawierające azbest</w:t>
      </w:r>
      <w:bookmarkStart w:id="92" w:name="_Toc19787609"/>
      <w:bookmarkEnd w:id="92"/>
      <w:r>
        <w:rPr>
          <w:rStyle w:val="Zakotwiczenieprzypisudolnego"/>
          <w:rStyle w:val="Zakotwiczenieprzypisudolnego"/>
          <w:sz w:val="20"/>
          <w:szCs w:val="20"/>
        </w:rPr>
        <w:footnoteReference w:id="11"/>
      </w:r>
    </w:p>
    <w:tbl>
      <w:tblPr>
        <w:tblStyle w:val="Tabelasiatki4akcent31"/>
        <w:tblW w:w="9917" w:type="dxa"/>
        <w:jc w:val="left"/>
        <w:tblInd w:w="-431" w:type="dxa"/>
        <w:tblCellMar>
          <w:top w:w="0" w:type="dxa"/>
          <w:left w:w="108" w:type="dxa"/>
          <w:bottom w:w="0" w:type="dxa"/>
          <w:right w:w="108" w:type="dxa"/>
        </w:tblCellMar>
        <w:tblLook w:firstRow="1" w:noVBand="1" w:lastRow="0" w:firstColumn="1" w:lastColumn="0" w:noHBand="0" w:val="04a0"/>
      </w:tblPr>
      <w:tblGrid>
        <w:gridCol w:w="568"/>
        <w:gridCol w:w="2395"/>
        <w:gridCol w:w="1574"/>
        <w:gridCol w:w="2817"/>
        <w:gridCol w:w="2563"/>
      </w:tblGrid>
      <w:tr>
        <w:trPr>
          <w:cnfStyle w:val="100000000000" w:firstRow="1" w:lastRow="0" w:firstColumn="0" w:lastColumn="0" w:oddVBand="0" w:evenVBand="0" w:oddHBand="0" w:evenHBand="0" w:firstRowFirstColumn="0" w:firstRowLastColumn="0" w:lastRowFirstColumn="0" w:lastRowLastColumn="0"/>
        </w:trPr>
        <w:tc>
          <w:tcPr>
            <w:tcW w:w="568" w:type="dxa"/>
            <w:cnfStyle w:val="001000000000" w:firstRow="0" w:lastRow="0" w:firstColumn="1" w:lastColumn="0" w:oddVBand="0" w:evenVBand="0" w:oddHBand="0" w:evenHBand="0" w:firstRowFirstColumn="0" w:firstRowLastColumn="0" w:lastRowFirstColumn="0" w:lastRowLastColumn="0"/>
            <w:tcBorders>
              <w:top w:val="single" w:sz="4" w:space="0" w:color="9BBB59"/>
              <w:left w:val="single" w:sz="4" w:space="0" w:color="9BBB59"/>
              <w:bottom w:val="single" w:sz="4" w:space="0" w:color="9BBB59"/>
              <w:right w:val="single" w:sz="4" w:space="0" w:color="9BBB59"/>
              <w:insideH w:val="single" w:sz="4" w:space="0" w:color="9BBB59"/>
              <w:insideV w:val="single" w:sz="4" w:space="0" w:color="9BBB59"/>
            </w:tcBorders>
            <w:shd w:color="auto" w:fill="9BBB59" w:themeFill="accent3" w:val="clear"/>
          </w:tcPr>
          <w:p>
            <w:pPr>
              <w:pStyle w:val="Normal"/>
              <w:spacing w:before="0" w:after="0"/>
              <w:jc w:val="center"/>
              <w:rPr>
                <w:rFonts w:ascii="Arial" w:hAnsi="Arial" w:cs="Arial"/>
                <w:color w:val="auto"/>
                <w:sz w:val="20"/>
                <w:szCs w:val="20"/>
              </w:rPr>
            </w:pPr>
            <w:r>
              <w:rPr>
                <w:rFonts w:cs="Arial" w:ascii="Arial" w:hAnsi="Arial"/>
                <w:b/>
                <w:bCs/>
                <w:color w:val="auto"/>
                <w:sz w:val="20"/>
                <w:szCs w:val="20"/>
              </w:rPr>
              <w:t>Lp.</w:t>
            </w:r>
          </w:p>
        </w:tc>
        <w:tc>
          <w:tcPr>
            <w:tcW w:w="2395" w:type="dxa"/>
            <w:tcBorders>
              <w:top w:val="single" w:sz="4" w:space="0" w:color="9BBB59"/>
              <w:left w:val="single" w:sz="4" w:space="0" w:color="9BBB59"/>
              <w:bottom w:val="single" w:sz="4" w:space="0" w:color="9BBB59"/>
              <w:right w:val="single" w:sz="4" w:space="0" w:color="9BBB59"/>
              <w:insideH w:val="single" w:sz="4" w:space="0" w:color="9BBB59"/>
              <w:insideV w:val="single" w:sz="4" w:space="0" w:color="9BBB59"/>
            </w:tcBorders>
            <w:shd w:color="auto" w:fill="9BBB59" w:themeFill="accent3" w:val="clear"/>
          </w:tcPr>
          <w:p>
            <w:pPr>
              <w:pStyle w:val="Normal"/>
              <w:spacing w:before="0" w:after="0"/>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0"/>
                <w:szCs w:val="20"/>
              </w:rPr>
            </w:pPr>
            <w:r>
              <w:rPr>
                <w:rFonts w:cs="Arial" w:ascii="Arial" w:hAnsi="Arial"/>
                <w:b/>
                <w:bCs/>
                <w:color w:val="auto"/>
                <w:sz w:val="20"/>
                <w:szCs w:val="20"/>
              </w:rPr>
              <w:t>Gmina</w:t>
            </w:r>
          </w:p>
        </w:tc>
        <w:tc>
          <w:tcPr>
            <w:tcW w:w="1574" w:type="dxa"/>
            <w:tcBorders>
              <w:top w:val="single" w:sz="4" w:space="0" w:color="9BBB59"/>
              <w:left w:val="single" w:sz="4" w:space="0" w:color="9BBB59"/>
              <w:bottom w:val="single" w:sz="4" w:space="0" w:color="9BBB59"/>
              <w:right w:val="single" w:sz="4" w:space="0" w:color="9BBB59"/>
              <w:insideH w:val="single" w:sz="4" w:space="0" w:color="9BBB59"/>
              <w:insideV w:val="single" w:sz="4" w:space="0" w:color="9BBB59"/>
            </w:tcBorders>
            <w:shd w:color="auto" w:fill="9BBB59" w:themeFill="accent3" w:val="clear"/>
          </w:tcPr>
          <w:p>
            <w:pPr>
              <w:pStyle w:val="Normal"/>
              <w:spacing w:before="0" w:after="0"/>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0"/>
                <w:szCs w:val="20"/>
              </w:rPr>
            </w:pPr>
            <w:r>
              <w:rPr>
                <w:rFonts w:cs="Arial" w:ascii="Arial" w:hAnsi="Arial"/>
                <w:b/>
                <w:bCs/>
                <w:color w:val="auto"/>
                <w:sz w:val="20"/>
                <w:szCs w:val="20"/>
              </w:rPr>
              <w:t>Miejscowość</w:t>
            </w:r>
          </w:p>
        </w:tc>
        <w:tc>
          <w:tcPr>
            <w:tcW w:w="2817" w:type="dxa"/>
            <w:tcBorders>
              <w:top w:val="single" w:sz="4" w:space="0" w:color="9BBB59"/>
              <w:left w:val="single" w:sz="4" w:space="0" w:color="9BBB59"/>
              <w:bottom w:val="single" w:sz="4" w:space="0" w:color="9BBB59"/>
              <w:right w:val="single" w:sz="4" w:space="0" w:color="9BBB59"/>
              <w:insideH w:val="single" w:sz="4" w:space="0" w:color="9BBB59"/>
              <w:insideV w:val="single" w:sz="4" w:space="0" w:color="9BBB59"/>
            </w:tcBorders>
            <w:shd w:color="auto" w:fill="9BBB59" w:themeFill="accent3" w:val="clear"/>
          </w:tcPr>
          <w:p>
            <w:pPr>
              <w:pStyle w:val="Normal"/>
              <w:spacing w:before="0" w:after="0"/>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0"/>
                <w:szCs w:val="20"/>
              </w:rPr>
            </w:pPr>
            <w:r>
              <w:rPr>
                <w:rFonts w:cs="Arial" w:ascii="Arial" w:hAnsi="Arial"/>
                <w:b/>
                <w:bCs/>
                <w:color w:val="auto"/>
                <w:sz w:val="20"/>
                <w:szCs w:val="20"/>
              </w:rPr>
              <w:t>Rodzaj</w:t>
            </w:r>
          </w:p>
        </w:tc>
        <w:tc>
          <w:tcPr>
            <w:tcW w:w="2563" w:type="dxa"/>
            <w:tcBorders>
              <w:top w:val="single" w:sz="4" w:space="0" w:color="9BBB59"/>
              <w:left w:val="single" w:sz="4" w:space="0" w:color="9BBB59"/>
              <w:bottom w:val="single" w:sz="4" w:space="0" w:color="9BBB59"/>
              <w:right w:val="single" w:sz="4" w:space="0" w:color="9BBB59"/>
              <w:insideH w:val="single" w:sz="4" w:space="0" w:color="9BBB59"/>
              <w:insideV w:val="single" w:sz="4" w:space="0" w:color="9BBB59"/>
            </w:tcBorders>
            <w:shd w:color="auto" w:fill="9BBB59" w:themeFill="accent3" w:val="clear"/>
          </w:tcPr>
          <w:p>
            <w:pPr>
              <w:pStyle w:val="Normal"/>
              <w:spacing w:before="0" w:after="0"/>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0"/>
                <w:szCs w:val="20"/>
              </w:rPr>
            </w:pPr>
            <w:r>
              <w:rPr>
                <w:rFonts w:cs="Arial" w:ascii="Arial" w:hAnsi="Arial"/>
                <w:b/>
                <w:bCs/>
                <w:color w:val="auto"/>
                <w:sz w:val="20"/>
                <w:szCs w:val="20"/>
              </w:rPr>
              <w:t>Adres</w:t>
            </w:r>
          </w:p>
        </w:tc>
      </w:tr>
      <w:tr>
        <w:trPr>
          <w:trHeight w:val="806" w:hRule="atLeast"/>
          <w:cnfStyle w:val="000000100000" w:firstRow="0" w:lastRow="0" w:firstColumn="0" w:lastColumn="0" w:oddVBand="0" w:evenVBand="0" w:oddHBand="1" w:evenHBand="0" w:firstRowFirstColumn="0" w:firstRowLastColumn="0" w:lastRowFirstColumn="0" w:lastRowLastColumn="0"/>
        </w:trPr>
        <w:tc>
          <w:tcPr>
            <w:tcW w:w="568" w:type="dxa"/>
            <w:cnfStyle w:val="001000000000" w:firstRow="0" w:lastRow="0" w:firstColumn="1" w:lastColumn="0" w:oddVBand="0" w:evenVBand="0" w:oddHBand="0" w:evenHBand="0" w:firstRowFirstColumn="0" w:firstRowLastColumn="0" w:lastRowFirstColumn="0" w:lastRowLastColumn="0"/>
            <w:tcBorders/>
            <w:shd w:color="auto" w:fill="EAF1DD" w:themeFill="accent3" w:themeFillTint="33" w:val="clear"/>
          </w:tcPr>
          <w:p>
            <w:pPr>
              <w:pStyle w:val="Normal"/>
              <w:spacing w:before="0" w:after="0"/>
              <w:jc w:val="center"/>
              <w:rPr>
                <w:rFonts w:ascii="Arial" w:hAnsi="Arial" w:cs="Arial"/>
                <w:sz w:val="20"/>
                <w:szCs w:val="20"/>
              </w:rPr>
            </w:pPr>
            <w:r>
              <w:rPr>
                <w:rFonts w:cs="Arial" w:ascii="Arial" w:hAnsi="Arial"/>
                <w:b/>
                <w:bCs/>
                <w:sz w:val="20"/>
                <w:szCs w:val="20"/>
              </w:rPr>
              <w:t>1.</w:t>
            </w:r>
          </w:p>
        </w:tc>
        <w:tc>
          <w:tcPr>
            <w:tcW w:w="2395" w:type="dxa"/>
            <w:tcBorders/>
            <w:shd w:color="auto" w:fill="EAF1DD" w:themeFill="accent3" w:themeFillTint="33" w:val="clear"/>
          </w:tcPr>
          <w:p>
            <w:pPr>
              <w:pStyle w:val="Normal"/>
              <w:spacing w:before="0"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cs="Arial" w:ascii="Arial" w:hAnsi="Arial"/>
                <w:sz w:val="20"/>
                <w:szCs w:val="20"/>
              </w:rPr>
              <w:t>Pruszcz</w:t>
            </w:r>
          </w:p>
        </w:tc>
        <w:tc>
          <w:tcPr>
            <w:tcW w:w="1574" w:type="dxa"/>
            <w:tcBorders/>
            <w:shd w:color="auto" w:fill="EAF1DD" w:themeFill="accent3" w:themeFillTint="33" w:val="clear"/>
          </w:tcPr>
          <w:p>
            <w:pPr>
              <w:pStyle w:val="Normal"/>
              <w:spacing w:before="0"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t>Małociechowo</w:t>
            </w:r>
          </w:p>
        </w:tc>
        <w:tc>
          <w:tcPr>
            <w:tcW w:w="2817" w:type="dxa"/>
            <w:tcBorders/>
            <w:shd w:color="auto" w:fill="EAF1DD" w:themeFill="accent3" w:themeFillTint="33" w:val="clear"/>
          </w:tcPr>
          <w:p>
            <w:pPr>
              <w:pStyle w:val="Normal"/>
              <w:spacing w:before="0"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cs="Arial" w:ascii="Arial" w:hAnsi="Arial"/>
                <w:sz w:val="20"/>
                <w:szCs w:val="20"/>
              </w:rPr>
              <w:t>Ogólnodostępne</w:t>
            </w:r>
          </w:p>
        </w:tc>
        <w:tc>
          <w:tcPr>
            <w:tcW w:w="2563" w:type="dxa"/>
            <w:tcBorders/>
            <w:shd w:color="auto" w:fill="EAF1DD" w:themeFill="accent3" w:themeFillTint="33" w:val="clear"/>
          </w:tcPr>
          <w:p>
            <w:pPr>
              <w:pStyle w:val="Normal"/>
              <w:spacing w:lineRule="auto" w:line="240" w:before="0"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t>Małociechowo 86-120 Pruszcz</w:t>
            </w:r>
          </w:p>
        </w:tc>
      </w:tr>
      <w:tr>
        <w:trPr>
          <w:trHeight w:val="466" w:hRule="atLeast"/>
        </w:trPr>
        <w:tc>
          <w:tcPr>
            <w:tcW w:w="568" w:type="dxa"/>
            <w:cnfStyle w:val="001000000000" w:firstRow="0" w:lastRow="0" w:firstColumn="1" w:lastColumn="0" w:oddVBand="0" w:evenVBand="0" w:oddHBand="0" w:evenHBand="0" w:firstRowFirstColumn="0" w:firstRowLastColumn="0" w:lastRowFirstColumn="0" w:lastRowLastColumn="0"/>
            <w:tcBorders/>
            <w:shd w:fill="auto" w:val="clear"/>
          </w:tcPr>
          <w:p>
            <w:pPr>
              <w:pStyle w:val="Normal"/>
              <w:spacing w:before="0" w:after="0"/>
              <w:jc w:val="center"/>
              <w:rPr>
                <w:rFonts w:ascii="Arial" w:hAnsi="Arial" w:cs="Arial"/>
                <w:sz w:val="20"/>
                <w:szCs w:val="20"/>
              </w:rPr>
            </w:pPr>
            <w:r>
              <w:rPr>
                <w:rFonts w:cs="Arial" w:ascii="Arial" w:hAnsi="Arial"/>
                <w:b/>
                <w:bCs/>
                <w:sz w:val="20"/>
                <w:szCs w:val="20"/>
              </w:rPr>
              <w:t>2.</w:t>
            </w:r>
          </w:p>
        </w:tc>
        <w:tc>
          <w:tcPr>
            <w:tcW w:w="2395" w:type="dxa"/>
            <w:tcBorders/>
            <w:shd w:fill="auto" w:val="clear"/>
          </w:tcPr>
          <w:p>
            <w:pPr>
              <w:pStyle w:val="Normal"/>
              <w:spacing w:before="0"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cs="Arial" w:ascii="Arial" w:hAnsi="Arial"/>
                <w:sz w:val="20"/>
                <w:szCs w:val="20"/>
              </w:rPr>
              <w:t>Piotrków Kujawski</w:t>
            </w:r>
          </w:p>
        </w:tc>
        <w:tc>
          <w:tcPr>
            <w:tcW w:w="1574" w:type="dxa"/>
            <w:tcBorders/>
            <w:shd w:fill="auto" w:val="clear"/>
          </w:tcPr>
          <w:p>
            <w:pPr>
              <w:pStyle w:val="Normal"/>
              <w:spacing w:before="0"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cs="Arial" w:ascii="Arial" w:hAnsi="Arial"/>
                <w:sz w:val="20"/>
                <w:szCs w:val="20"/>
              </w:rPr>
              <w:t>Bycz</w:t>
            </w:r>
          </w:p>
        </w:tc>
        <w:tc>
          <w:tcPr>
            <w:tcW w:w="2817" w:type="dxa"/>
            <w:tcBorders/>
            <w:shd w:fill="auto" w:val="clear"/>
          </w:tcPr>
          <w:p>
            <w:pPr>
              <w:pStyle w:val="Normal"/>
              <w:spacing w:before="0"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cs="Arial" w:ascii="Arial" w:hAnsi="Arial"/>
                <w:sz w:val="20"/>
                <w:szCs w:val="20"/>
              </w:rPr>
              <w:t>Ogólnodostępne</w:t>
            </w:r>
          </w:p>
        </w:tc>
        <w:tc>
          <w:tcPr>
            <w:tcW w:w="2563" w:type="dxa"/>
            <w:tcBorders/>
            <w:shd w:fill="auto" w:val="clear"/>
          </w:tcPr>
          <w:p>
            <w:pPr>
              <w:pStyle w:val="Normal"/>
              <w:spacing w:lineRule="auto" w:line="240" w:before="0"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cs="Arial" w:ascii="Arial" w:hAnsi="Arial"/>
                <w:sz w:val="20"/>
                <w:szCs w:val="20"/>
              </w:rPr>
              <w:t>Bycz 102/7, 88-230 Piotrków Kujawski</w:t>
            </w:r>
          </w:p>
        </w:tc>
      </w:tr>
    </w:tbl>
    <w:p>
      <w:pPr>
        <w:pStyle w:val="Normal"/>
        <w:spacing w:lineRule="auto" w:line="360"/>
        <w:ind w:firstLine="360"/>
        <w:jc w:val="both"/>
        <w:rPr>
          <w:rFonts w:ascii="Arial" w:hAnsi="Arial" w:cs="Arial"/>
        </w:rPr>
      </w:pPr>
      <w:r>
        <w:rPr>
          <w:rFonts w:cs="Arial" w:ascii="Arial" w:hAnsi="Arial"/>
        </w:rPr>
      </w:r>
    </w:p>
    <w:p>
      <w:pPr>
        <w:pStyle w:val="Normal"/>
        <w:spacing w:lineRule="auto" w:line="360"/>
        <w:ind w:firstLine="708"/>
        <w:jc w:val="both"/>
        <w:rPr>
          <w:rFonts w:ascii="Arial" w:hAnsi="Arial" w:cs="Arial"/>
        </w:rPr>
      </w:pPr>
      <w:r>
        <w:rPr>
          <w:rFonts w:cs="Arial" w:ascii="Arial" w:hAnsi="Arial"/>
        </w:rPr>
        <w:t>Wyroby zawierające azbest mogą być demontowane lub zabezpieczane na krótki okres czasu. Zabezpieczanie polega na pokryciu powierzchni wyrobu zawierającego azbest specjalnymi preparatami. Zabezpieczać można jedynie wyroby będące w dobrym stanie technicznym, co wynika z obowiązujących przepisów. Dzięki takim działaniom włókna azbestu zostają trwale związane i oklejone, co ogranicza ich przedostawanie się do środowiska.</w:t>
      </w:r>
    </w:p>
    <w:p>
      <w:pPr>
        <w:pStyle w:val="Normal"/>
        <w:spacing w:lineRule="auto" w:line="360"/>
        <w:ind w:firstLine="708"/>
        <w:jc w:val="both"/>
        <w:rPr>
          <w:rFonts w:ascii="Arial" w:hAnsi="Arial" w:cs="Arial"/>
        </w:rPr>
      </w:pPr>
      <w:r>
        <w:rPr>
          <w:rFonts w:cs="Arial" w:ascii="Arial" w:hAnsi="Arial"/>
        </w:rPr>
        <w:t>Konieczność przeprowadzenia prac demontażowych istnieje w przypadku, gdy płyty elewacyjne są uszkodzone lub zniszczone lub też zostały zamontowane na podłożu drewnianym.</w:t>
      </w:r>
    </w:p>
    <w:p>
      <w:pPr>
        <w:pStyle w:val="Caption"/>
        <w:jc w:val="center"/>
        <w:rPr/>
      </w:pPr>
      <w:r>
        <w:rPr/>
      </w:r>
    </w:p>
    <w:p>
      <w:pPr>
        <w:pStyle w:val="Nagwek2"/>
        <w:jc w:val="both"/>
        <w:rPr/>
      </w:pPr>
      <w:bookmarkStart w:id="93" w:name="_Toc117046044"/>
      <w:bookmarkStart w:id="94" w:name="_Toc197863504"/>
      <w:bookmarkStart w:id="95" w:name="_Toc197863653"/>
      <w:bookmarkStart w:id="96" w:name="_Toc197863686"/>
      <w:bookmarkStart w:id="97" w:name="_Toc278442760"/>
      <w:bookmarkStart w:id="98" w:name="_Toc327780817"/>
      <w:bookmarkStart w:id="99" w:name="_Toc330505322"/>
      <w:bookmarkStart w:id="100" w:name="_Toc331346082"/>
      <w:bookmarkStart w:id="101" w:name="_Toc334432857"/>
      <w:bookmarkStart w:id="102" w:name="_Toc20296879"/>
      <w:bookmarkStart w:id="103" w:name="_Toc1978635031"/>
      <w:bookmarkStart w:id="104" w:name="_Toc1978636521"/>
      <w:bookmarkStart w:id="105" w:name="_Toc1978636851"/>
      <w:bookmarkStart w:id="106" w:name="_Toc2784427591"/>
      <w:bookmarkStart w:id="107" w:name="_Toc3277808161"/>
      <w:bookmarkStart w:id="108" w:name="_Toc3305053211"/>
      <w:bookmarkStart w:id="109" w:name="_Toc3313460811"/>
      <w:bookmarkStart w:id="110" w:name="_Toc3344328561"/>
      <w:bookmarkEnd w:id="103"/>
      <w:bookmarkEnd w:id="104"/>
      <w:bookmarkEnd w:id="105"/>
      <w:bookmarkEnd w:id="106"/>
      <w:bookmarkEnd w:id="107"/>
      <w:bookmarkEnd w:id="108"/>
      <w:bookmarkEnd w:id="109"/>
      <w:bookmarkEnd w:id="110"/>
      <w:r>
        <w:rPr/>
        <w:t>5.5. Strategia w zakresie usuwania wyrobów zawierających azbest i unieszkodliwiania odpadów azbestowych</w:t>
      </w:r>
      <w:bookmarkEnd w:id="93"/>
      <w:bookmarkEnd w:id="94"/>
      <w:bookmarkEnd w:id="95"/>
      <w:bookmarkEnd w:id="96"/>
      <w:bookmarkEnd w:id="97"/>
      <w:bookmarkEnd w:id="98"/>
      <w:bookmarkEnd w:id="99"/>
      <w:bookmarkEnd w:id="100"/>
      <w:bookmarkEnd w:id="101"/>
      <w:bookmarkEnd w:id="102"/>
    </w:p>
    <w:p>
      <w:pPr>
        <w:pStyle w:val="Normal"/>
        <w:rPr>
          <w:rFonts w:ascii="Arial" w:hAnsi="Arial" w:cs="Arial"/>
        </w:rPr>
      </w:pPr>
      <w:r>
        <w:rPr>
          <w:rFonts w:cs="Arial" w:ascii="Arial" w:hAnsi="Arial"/>
        </w:rPr>
      </w:r>
    </w:p>
    <w:p>
      <w:pPr>
        <w:pStyle w:val="Normal"/>
        <w:spacing w:lineRule="auto" w:line="360"/>
        <w:ind w:firstLine="708"/>
        <w:jc w:val="both"/>
        <w:rPr>
          <w:rFonts w:ascii="Arial" w:hAnsi="Arial" w:cs="Arial"/>
        </w:rPr>
      </w:pPr>
      <w:r>
        <w:rPr>
          <w:rFonts w:cs="Arial" w:ascii="Arial" w:hAnsi="Arial"/>
        </w:rPr>
        <w:t>Ramową strategię „Programu…” przedstawiono mając na względzie cele i dwie grupy zadań, (w tym organizacyjnych i inwestycyjnych).</w:t>
      </w:r>
    </w:p>
    <w:p>
      <w:pPr>
        <w:pStyle w:val="Normal"/>
        <w:spacing w:lineRule="auto" w:line="360"/>
        <w:jc w:val="both"/>
        <w:rPr>
          <w:rFonts w:ascii="Arial" w:hAnsi="Arial" w:cs="Arial"/>
        </w:rPr>
      </w:pPr>
      <w:r>
        <w:rPr>
          <w:rFonts w:cs="Arial" w:ascii="Arial" w:hAnsi="Arial"/>
        </w:rPr>
        <w:t>Zadania pozainwestycyjne zmierzają do:</w:t>
      </w:r>
    </w:p>
    <w:p>
      <w:pPr>
        <w:pStyle w:val="Normal"/>
        <w:numPr>
          <w:ilvl w:val="0"/>
          <w:numId w:val="33"/>
        </w:numPr>
        <w:spacing w:lineRule="auto" w:line="360" w:before="0" w:after="0"/>
        <w:jc w:val="both"/>
        <w:rPr>
          <w:rFonts w:ascii="Arial" w:hAnsi="Arial" w:cs="Arial"/>
        </w:rPr>
      </w:pPr>
      <w:r>
        <w:rPr>
          <w:rFonts w:cs="Arial" w:ascii="Arial" w:hAnsi="Arial"/>
        </w:rPr>
        <w:t>opracowania harmonogramu unieszkodliwienia pozostałych na terenie gminy  wyrobów azbestowych wraz z zaleceniami i wytycznymi dotyczącymi sposobów bezpiecznego ich usuwania,</w:t>
      </w:r>
    </w:p>
    <w:p>
      <w:pPr>
        <w:pStyle w:val="Normal"/>
        <w:numPr>
          <w:ilvl w:val="0"/>
          <w:numId w:val="33"/>
        </w:numPr>
        <w:spacing w:lineRule="auto" w:line="360" w:before="0" w:after="0"/>
        <w:jc w:val="both"/>
        <w:rPr>
          <w:rFonts w:ascii="Arial" w:hAnsi="Arial" w:cs="Arial"/>
        </w:rPr>
      </w:pPr>
      <w:r>
        <w:rPr>
          <w:rFonts w:cs="Arial" w:ascii="Arial" w:hAnsi="Arial"/>
        </w:rPr>
        <w:t>zintensyfikowania kontroli tzw. "dzikich wysypisk odpadów" gdzie mogą się  znajdować się także odpady azbestowe,</w:t>
      </w:r>
    </w:p>
    <w:p>
      <w:pPr>
        <w:pStyle w:val="Normal"/>
        <w:numPr>
          <w:ilvl w:val="0"/>
          <w:numId w:val="33"/>
        </w:numPr>
        <w:spacing w:lineRule="auto" w:line="360" w:before="0" w:after="0"/>
        <w:jc w:val="both"/>
        <w:rPr>
          <w:rFonts w:ascii="Arial" w:hAnsi="Arial" w:cs="Arial"/>
        </w:rPr>
      </w:pPr>
      <w:r>
        <w:rPr>
          <w:rFonts w:cs="Arial" w:ascii="Arial" w:hAnsi="Arial"/>
        </w:rPr>
        <w:t>organizacji kampanii informacyjnej o szkodliwości azbestu i bezpiecznym użytkowaniu i usuwaniu wyrobów zawierających azbest,</w:t>
      </w:r>
    </w:p>
    <w:p>
      <w:pPr>
        <w:pStyle w:val="Normal"/>
        <w:numPr>
          <w:ilvl w:val="0"/>
          <w:numId w:val="33"/>
        </w:numPr>
        <w:spacing w:lineRule="auto" w:line="360" w:before="0" w:after="0"/>
        <w:jc w:val="both"/>
        <w:rPr>
          <w:rFonts w:ascii="Arial" w:hAnsi="Arial" w:cs="Arial"/>
        </w:rPr>
      </w:pPr>
      <w:r>
        <w:rPr>
          <w:rFonts w:cs="Arial" w:ascii="Arial" w:hAnsi="Arial"/>
        </w:rPr>
        <w:t>usprawnienia monitoringu bezpiecznego usuwania wyrobów zawierających azbest i składowania odpadów azbestowych,</w:t>
      </w:r>
    </w:p>
    <w:p>
      <w:pPr>
        <w:pStyle w:val="Normal"/>
        <w:numPr>
          <w:ilvl w:val="0"/>
          <w:numId w:val="33"/>
        </w:numPr>
        <w:spacing w:lineRule="auto" w:line="360" w:before="0" w:after="0"/>
        <w:jc w:val="both"/>
        <w:rPr>
          <w:rFonts w:ascii="Arial" w:hAnsi="Arial" w:cs="Arial"/>
        </w:rPr>
      </w:pPr>
      <w:r>
        <w:rPr>
          <w:rFonts w:cs="Arial" w:ascii="Arial" w:hAnsi="Arial"/>
        </w:rPr>
        <w:t>wdrożenia monitoringu realizacji gminnego programu usuwania wyrobów zawierających azbest i unieszkodliwiania odpadów azbestowych,</w:t>
      </w:r>
    </w:p>
    <w:p>
      <w:pPr>
        <w:pStyle w:val="Normal"/>
        <w:numPr>
          <w:ilvl w:val="0"/>
          <w:numId w:val="33"/>
        </w:numPr>
        <w:spacing w:lineRule="auto" w:line="360" w:before="0" w:after="0"/>
        <w:jc w:val="both"/>
        <w:rPr>
          <w:rFonts w:ascii="Arial" w:hAnsi="Arial" w:cs="Arial"/>
        </w:rPr>
      </w:pPr>
      <w:r>
        <w:rPr>
          <w:rFonts w:cs="Arial" w:ascii="Arial" w:hAnsi="Arial"/>
        </w:rPr>
        <w:t>intensyfikacji procesu poszukiwania środków finansowych ze źródeł zewnętrznych dla wsparcia usuwania wyrobów zawierających azbest i ich unieszkodliwiania.</w:t>
      </w:r>
    </w:p>
    <w:p>
      <w:pPr>
        <w:pStyle w:val="Normal"/>
        <w:spacing w:lineRule="auto" w:line="360" w:before="0" w:after="0"/>
        <w:ind w:left="1080" w:hanging="0"/>
        <w:jc w:val="both"/>
        <w:rPr>
          <w:rFonts w:ascii="Arial" w:hAnsi="Arial" w:cs="Arial"/>
        </w:rPr>
      </w:pPr>
      <w:r>
        <w:rPr>
          <w:rFonts w:cs="Arial" w:ascii="Arial" w:hAnsi="Arial"/>
        </w:rPr>
      </w:r>
    </w:p>
    <w:p>
      <w:pPr>
        <w:pStyle w:val="Normal"/>
        <w:spacing w:lineRule="auto" w:line="360"/>
        <w:jc w:val="both"/>
        <w:rPr>
          <w:rFonts w:ascii="Arial" w:hAnsi="Arial" w:cs="Arial"/>
        </w:rPr>
      </w:pPr>
      <w:r>
        <w:rPr>
          <w:rFonts w:cs="Arial" w:ascii="Arial" w:hAnsi="Arial"/>
        </w:rPr>
        <w:t>Zadania inwestycyjne zmierzają do:</w:t>
      </w:r>
    </w:p>
    <w:p>
      <w:pPr>
        <w:pStyle w:val="Normal"/>
        <w:numPr>
          <w:ilvl w:val="0"/>
          <w:numId w:val="34"/>
        </w:numPr>
        <w:spacing w:lineRule="auto" w:line="360" w:before="0" w:after="0"/>
        <w:jc w:val="both"/>
        <w:rPr>
          <w:rFonts w:ascii="Arial" w:hAnsi="Arial" w:cs="Arial"/>
          <w:iCs/>
          <w:color w:val="000000"/>
        </w:rPr>
      </w:pPr>
      <w:r>
        <w:rPr>
          <w:rFonts w:cs="Arial" w:ascii="Arial" w:hAnsi="Arial"/>
        </w:rPr>
        <w:t xml:space="preserve">zwiększenia ilości usuwanych wyrobów zawierających azbest, </w:t>
      </w:r>
      <w:r>
        <w:rPr>
          <w:rFonts w:cs="Arial" w:ascii="Arial" w:hAnsi="Arial"/>
          <w:iCs/>
          <w:color w:val="000000"/>
        </w:rPr>
        <w:t>wyeliminowania negatywnych skutków zdrowotnych u mieszkańców gminy spowodowanych obecnością azbestu,</w:t>
      </w:r>
    </w:p>
    <w:p>
      <w:pPr>
        <w:pStyle w:val="Normal"/>
        <w:numPr>
          <w:ilvl w:val="0"/>
          <w:numId w:val="34"/>
        </w:numPr>
        <w:spacing w:lineRule="auto" w:line="360" w:before="0" w:after="0"/>
        <w:jc w:val="both"/>
        <w:rPr>
          <w:rFonts w:ascii="Arial" w:hAnsi="Arial" w:cs="Arial"/>
          <w:iCs/>
          <w:color w:val="000000"/>
        </w:rPr>
      </w:pPr>
      <w:r>
        <w:rPr>
          <w:rFonts w:cs="Arial" w:ascii="Arial" w:hAnsi="Arial"/>
          <w:iCs/>
          <w:color w:val="000000"/>
        </w:rPr>
        <w:t>likwidacji negatywnego oddziaływania azbestu na środowisko naturalne.</w:t>
      </w:r>
    </w:p>
    <w:p>
      <w:pPr>
        <w:pStyle w:val="Normal"/>
        <w:spacing w:lineRule="auto" w:line="360" w:before="0" w:after="0"/>
        <w:jc w:val="both"/>
        <w:rPr>
          <w:rFonts w:ascii="Arial" w:hAnsi="Arial" w:cs="Arial"/>
          <w:iCs/>
          <w:color w:val="000000"/>
        </w:rPr>
      </w:pPr>
      <w:r>
        <w:rPr>
          <w:rFonts w:cs="Arial" w:ascii="Arial" w:hAnsi="Arial"/>
          <w:iCs/>
          <w:color w:val="000000"/>
        </w:rPr>
      </w:r>
    </w:p>
    <w:p>
      <w:pPr>
        <w:pStyle w:val="Nagwek2"/>
        <w:jc w:val="both"/>
        <w:rPr/>
      </w:pPr>
      <w:bookmarkStart w:id="111" w:name="_Toc20296880"/>
      <w:bookmarkStart w:id="112" w:name="_Toc197863505"/>
      <w:bookmarkStart w:id="113" w:name="_Toc197863654"/>
      <w:bookmarkStart w:id="114" w:name="_Toc197863687"/>
      <w:bookmarkStart w:id="115" w:name="_Toc278442761"/>
      <w:bookmarkStart w:id="116" w:name="_Toc327780818"/>
      <w:bookmarkStart w:id="117" w:name="_Toc330505323"/>
      <w:bookmarkStart w:id="118" w:name="_Toc331346083"/>
      <w:bookmarkStart w:id="119" w:name="_Toc334432858"/>
      <w:r>
        <w:rPr/>
        <w:t xml:space="preserve">5.6. Harmonogram realizacji </w:t>
      </w:r>
      <w:bookmarkEnd w:id="112"/>
      <w:bookmarkEnd w:id="113"/>
      <w:bookmarkEnd w:id="114"/>
      <w:bookmarkEnd w:id="115"/>
      <w:bookmarkEnd w:id="116"/>
      <w:bookmarkEnd w:id="117"/>
      <w:bookmarkEnd w:id="118"/>
      <w:bookmarkEnd w:id="119"/>
      <w:r>
        <w:rPr/>
        <w:t>programu</w:t>
      </w:r>
      <w:bookmarkEnd w:id="111"/>
    </w:p>
    <w:p>
      <w:pPr>
        <w:pStyle w:val="Normal"/>
        <w:spacing w:lineRule="auto" w:line="360"/>
        <w:ind w:firstLine="426"/>
        <w:jc w:val="both"/>
        <w:rPr>
          <w:rFonts w:ascii="Arial" w:hAnsi="Arial" w:cs="Arial"/>
        </w:rPr>
      </w:pPr>
      <w:r>
        <w:rPr>
          <w:rFonts w:cs="Arial" w:ascii="Arial" w:hAnsi="Arial"/>
        </w:rPr>
      </w:r>
    </w:p>
    <w:p>
      <w:pPr>
        <w:pStyle w:val="Normal"/>
        <w:spacing w:lineRule="auto" w:line="360"/>
        <w:ind w:firstLine="567"/>
        <w:jc w:val="both"/>
        <w:rPr>
          <w:rFonts w:ascii="Arial" w:hAnsi="Arial" w:cs="Arial"/>
        </w:rPr>
      </w:pPr>
      <w:r>
        <w:rPr>
          <w:rFonts w:cs="Arial" w:ascii="Arial" w:hAnsi="Arial"/>
        </w:rPr>
        <w:t>Proces usuwania wyrobów zawierających azbest, zgodnie z zapisami „</w:t>
      </w:r>
      <w:r>
        <w:rPr>
          <w:rFonts w:cs="Arial" w:ascii="Arial" w:hAnsi="Arial"/>
          <w:i/>
        </w:rPr>
        <w:t xml:space="preserve">Krajowego programu (…) </w:t>
      </w:r>
      <w:r>
        <w:rPr>
          <w:rFonts w:cs="Arial" w:ascii="Arial" w:hAnsi="Arial"/>
        </w:rPr>
        <w:t xml:space="preserve"> powinien być zakończony 31 grudnia 2032 roku. Wynika to z bardzo dużej ilości tych wyrobów oraz wysokości potrzebnych środków finansowych. Zatem tak długotrwałe zadanie (licząc od 2019 roku ok. 14 lat) wymaga zdefiniowania ramowej strategii w zakresie usuwania wyrobów zawierających azbest oraz unieszkodliwiania odpadów azbestowych.</w:t>
      </w:r>
    </w:p>
    <w:p>
      <w:pPr>
        <w:pStyle w:val="Normal"/>
        <w:spacing w:lineRule="auto" w:line="360"/>
        <w:jc w:val="both"/>
        <w:rPr>
          <w:rFonts w:ascii="Arial" w:hAnsi="Arial" w:cs="Arial"/>
        </w:rPr>
      </w:pPr>
      <w:r>
        <w:rPr>
          <w:rFonts w:cs="Arial" w:ascii="Arial" w:hAnsi="Arial"/>
        </w:rPr>
        <w:t>Dla potrzeb niniejszego „Programu…” , w ślad za programem krajowym, przyjęto podzielenie okresu do 2032 roku na 4 podokresy, tj.</w:t>
      </w:r>
    </w:p>
    <w:p>
      <w:pPr>
        <w:pStyle w:val="Normal"/>
        <w:numPr>
          <w:ilvl w:val="0"/>
          <w:numId w:val="35"/>
        </w:numPr>
        <w:spacing w:lineRule="auto" w:line="360" w:before="0" w:after="0"/>
        <w:jc w:val="both"/>
        <w:rPr>
          <w:rFonts w:ascii="Arial" w:hAnsi="Arial" w:cs="Arial"/>
          <w:b/>
          <w:b/>
        </w:rPr>
      </w:pPr>
      <w:r>
        <w:rPr>
          <w:rFonts w:cs="Arial" w:ascii="Arial" w:hAnsi="Arial"/>
          <w:b/>
        </w:rPr>
        <w:t>okres I: lata 2019 - 2021</w:t>
      </w:r>
    </w:p>
    <w:p>
      <w:pPr>
        <w:pStyle w:val="Normal"/>
        <w:numPr>
          <w:ilvl w:val="0"/>
          <w:numId w:val="35"/>
        </w:numPr>
        <w:spacing w:lineRule="auto" w:line="360" w:before="0" w:after="0"/>
        <w:jc w:val="both"/>
        <w:rPr>
          <w:rFonts w:ascii="Arial" w:hAnsi="Arial" w:cs="Arial"/>
          <w:b/>
          <w:b/>
        </w:rPr>
      </w:pPr>
      <w:r>
        <w:rPr>
          <w:rFonts w:cs="Arial" w:ascii="Arial" w:hAnsi="Arial"/>
          <w:b/>
        </w:rPr>
        <w:t>okres II: lata 2022 - 2025</w:t>
      </w:r>
    </w:p>
    <w:p>
      <w:pPr>
        <w:pStyle w:val="Normal"/>
        <w:numPr>
          <w:ilvl w:val="0"/>
          <w:numId w:val="35"/>
        </w:numPr>
        <w:spacing w:lineRule="auto" w:line="360" w:before="0" w:after="0"/>
        <w:jc w:val="both"/>
        <w:rPr>
          <w:rFonts w:ascii="Arial" w:hAnsi="Arial" w:cs="Arial"/>
          <w:b/>
          <w:b/>
        </w:rPr>
      </w:pPr>
      <w:r>
        <w:rPr>
          <w:rFonts w:cs="Arial" w:ascii="Arial" w:hAnsi="Arial"/>
          <w:b/>
        </w:rPr>
        <w:t>okres III: lata 2026 - 2029</w:t>
      </w:r>
    </w:p>
    <w:p>
      <w:pPr>
        <w:pStyle w:val="Normal"/>
        <w:numPr>
          <w:ilvl w:val="0"/>
          <w:numId w:val="35"/>
        </w:numPr>
        <w:spacing w:lineRule="auto" w:line="360" w:before="0" w:after="0"/>
        <w:jc w:val="both"/>
        <w:rPr>
          <w:rFonts w:ascii="Arial" w:hAnsi="Arial" w:cs="Arial"/>
          <w:b/>
          <w:b/>
        </w:rPr>
      </w:pPr>
      <w:bookmarkStart w:id="120" w:name="_Hlk529357359"/>
      <w:r>
        <w:rPr>
          <w:rFonts w:cs="Arial" w:ascii="Arial" w:hAnsi="Arial"/>
          <w:b/>
        </w:rPr>
        <w:t xml:space="preserve">okres IV: lata 2030 - 2032 </w:t>
      </w:r>
      <w:bookmarkEnd w:id="120"/>
    </w:p>
    <w:p>
      <w:pPr>
        <w:pStyle w:val="Normal"/>
        <w:spacing w:lineRule="auto" w:line="360"/>
        <w:jc w:val="both"/>
        <w:rPr>
          <w:rFonts w:ascii="Arial" w:hAnsi="Arial" w:cs="Arial"/>
          <w:color w:val="000000"/>
        </w:rPr>
      </w:pPr>
      <w:r>
        <w:rPr>
          <w:rFonts w:cs="Arial" w:ascii="Arial" w:hAnsi="Arial"/>
        </w:rPr>
        <w:tab/>
      </w:r>
      <w:r>
        <w:rPr>
          <w:rFonts w:cs="Arial" w:ascii="Arial" w:hAnsi="Arial"/>
          <w:color w:val="000000"/>
        </w:rPr>
        <w:t>Harmonogram realizacji zadań został sporządzony po analizie aktualnego stanu ilościowego wyrobów azbestowych pozostających na terenie gminy i uzupełniony o zadania wynikające z „Programu Oczyszczania Kraju z Azbestu na lata 2009 – 2032.</w:t>
      </w:r>
    </w:p>
    <w:p>
      <w:pPr>
        <w:pStyle w:val="Normal"/>
        <w:spacing w:lineRule="auto" w:line="360" w:before="0" w:after="0"/>
        <w:jc w:val="both"/>
        <w:rPr>
          <w:rFonts w:ascii="Arial" w:hAnsi="Arial" w:cs="Arial"/>
        </w:rPr>
      </w:pPr>
      <w:r>
        <w:rPr>
          <w:rFonts w:cs="Arial" w:ascii="Arial" w:hAnsi="Arial"/>
        </w:rPr>
        <w:tab/>
        <w:t xml:space="preserve">Odpady zawierające azbest, jako odpady niebezpieczne, wymagają szczególnego sposobu postępowania i dlatego powinny być objęte programem likwidacji azbestu i odpadów zawierających azbest. Ważnym aspektem w podejściu do sposobu rozwiązania problemu usuwania azbestu w gminie jest fakt, iż stosowane w przeszłości w budownictwie i innych dziedzinach gospodarki wyroby z udziałem azbestu nie stanowią zagrożenia, dopóki materiały te nie są uszkodzone. Zagrożeniem może być ich niewłaściwe usuwanie, bowiem w czasie obróbki mechanicznej (np. kruszenie, cięcie itp.) następuje uwalnianie się włókien azbestowych do powietrza i zachodzi niebezpieczeństwo ich wchłaniania (wdychania). </w:t>
      </w:r>
    </w:p>
    <w:p>
      <w:pPr>
        <w:pStyle w:val="Normal"/>
        <w:spacing w:lineRule="auto" w:line="360" w:before="0" w:after="0"/>
        <w:ind w:firstLine="708"/>
        <w:jc w:val="both"/>
        <w:rPr>
          <w:rFonts w:ascii="Arial" w:hAnsi="Arial" w:cs="Arial"/>
        </w:rPr>
      </w:pPr>
      <w:r>
        <w:rPr>
          <w:rFonts w:cs="Arial" w:ascii="Arial" w:hAnsi="Arial"/>
        </w:rPr>
        <w:t xml:space="preserve">Usuwanie pokryć dachowych, elewacyjnych i innych materiałów budowlanych zawierających azbest będzie procesem długotrwałym i w każdym przypadku należy oceniać celowość podejmowania ich demontażu z punktu widzenia ochrony zdrowia i zagrożenia ekologicznego. Proces ten powinien być przeprowadzony ze szczególnym zachowaniem zasad bezpieczeństwa i higieny pracy. Niestety znajomość obowiązujących przepisów prawa przez właścicieli i administratorów obiektów budowlanych zawierających wyroby azbestowe w zakresie ich bezpiecznego unieszkodliwiania jest wciąż często niewystarczająca. </w:t>
      </w:r>
    </w:p>
    <w:p>
      <w:pPr>
        <w:pStyle w:val="Normal"/>
        <w:spacing w:lineRule="auto" w:line="360" w:before="0" w:after="0"/>
        <w:ind w:firstLine="708"/>
        <w:jc w:val="both"/>
        <w:rPr>
          <w:rFonts w:ascii="Arial" w:hAnsi="Arial" w:cs="Arial"/>
        </w:rPr>
      </w:pPr>
      <w:r>
        <w:rPr>
          <w:rFonts w:cs="Arial" w:ascii="Arial" w:hAnsi="Arial"/>
        </w:rPr>
        <w:t>Zakłada się, iż poprzez odpowiednie działania informacyjno-edukacyjne doprowadzi się do zapobiegania sytuacjom, w których dochodzi do usuwania wyrobów zawierających azbest na</w:t>
      </w:r>
      <w:r>
        <w:rPr/>
        <w:t> </w:t>
      </w:r>
      <w:r>
        <w:rPr>
          <w:rFonts w:cs="Arial" w:ascii="Arial" w:hAnsi="Arial"/>
        </w:rPr>
        <w:t>„własną rękę”.</w:t>
      </w:r>
    </w:p>
    <w:p>
      <w:pPr>
        <w:pStyle w:val="Normal"/>
        <w:spacing w:lineRule="auto" w:line="360" w:before="0" w:after="0"/>
        <w:ind w:firstLine="708"/>
        <w:jc w:val="both"/>
        <w:rPr>
          <w:rFonts w:ascii="Arial" w:hAnsi="Arial" w:cs="Arial"/>
        </w:rPr>
      </w:pPr>
      <w:r>
        <w:rPr>
          <w:rFonts w:cs="Arial" w:ascii="Arial" w:hAnsi="Arial"/>
        </w:rPr>
        <w:t>Z uwagi na wysoki koszt usuwania i unieszkodliwiania odpadów azbestowych istotne jest także zachęcenie do prawidłowego usuwania wyrobów zawierających azbest poprzez dofinansowanie przedsięwzięć związanych z ich usuwaniem, ze środków publicznych oraz zewnętrznych środków pomocowych.</w:t>
      </w:r>
    </w:p>
    <w:p>
      <w:pPr>
        <w:pStyle w:val="Normal"/>
        <w:spacing w:lineRule="auto" w:line="360"/>
        <w:ind w:firstLine="708"/>
        <w:jc w:val="both"/>
        <w:rPr>
          <w:rFonts w:ascii="Arial" w:hAnsi="Arial" w:cs="Arial"/>
          <w:color w:val="000000"/>
          <w:sz w:val="20"/>
          <w:szCs w:val="20"/>
        </w:rPr>
      </w:pPr>
      <w:r>
        <w:rPr>
          <w:rFonts w:cs="Arial" w:ascii="Arial" w:hAnsi="Arial"/>
        </w:rPr>
        <w:t xml:space="preserve">W zamieszczonej dalej tabeli zestawiono konieczne do realizacji zadania związane                  z usuwaniem azbestu i wyrobów zawierających azbest  na terenie gminy oraz zaproponowano okresy ich wykonania </w:t>
      </w:r>
      <w:r>
        <w:rPr>
          <w:rFonts w:cs="Arial" w:ascii="Arial" w:hAnsi="Arial"/>
          <w:sz w:val="20"/>
          <w:szCs w:val="20"/>
        </w:rPr>
        <w:t xml:space="preserve">(harmonogram). Równocześnie w tabeli tej określono rolę </w:t>
      </w:r>
      <w:r>
        <w:rPr>
          <w:rFonts w:cs="Arial" w:ascii="Arial" w:hAnsi="Arial"/>
          <w:color w:val="000000"/>
          <w:sz w:val="20"/>
          <w:szCs w:val="20"/>
        </w:rPr>
        <w:t>Jednostki Samorządu Terytorialnego.</w:t>
      </w:r>
    </w:p>
    <w:p>
      <w:pPr>
        <w:pStyle w:val="Caption"/>
        <w:keepNext w:val="true"/>
        <w:rPr>
          <w:sz w:val="20"/>
          <w:szCs w:val="20"/>
        </w:rPr>
      </w:pPr>
      <w:bookmarkStart w:id="121" w:name="_Toc19787610"/>
      <w:r>
        <w:rPr>
          <w:sz w:val="20"/>
          <w:szCs w:val="20"/>
        </w:rPr>
        <w:t xml:space="preserve">Tabela </w:t>
      </w:r>
      <w:r>
        <w:rPr>
          <w:sz w:val="20"/>
          <w:szCs w:val="20"/>
        </w:rPr>
        <w:fldChar w:fldCharType="begin"/>
      </w:r>
      <w:r>
        <w:rPr>
          <w:sz w:val="20"/>
          <w:szCs w:val="20"/>
        </w:rPr>
        <w:instrText> SEQ Tabela \* ARABIC </w:instrText>
      </w:r>
      <w:r>
        <w:rPr>
          <w:sz w:val="20"/>
          <w:szCs w:val="20"/>
        </w:rPr>
        <w:fldChar w:fldCharType="separate"/>
      </w:r>
      <w:r>
        <w:rPr>
          <w:sz w:val="20"/>
          <w:szCs w:val="20"/>
        </w:rPr>
        <w:t>5</w:t>
      </w:r>
      <w:r>
        <w:rPr>
          <w:sz w:val="20"/>
          <w:szCs w:val="20"/>
        </w:rPr>
        <w:fldChar w:fldCharType="end"/>
      </w:r>
      <w:r>
        <w:rPr>
          <w:sz w:val="20"/>
          <w:szCs w:val="20"/>
        </w:rPr>
        <w:t xml:space="preserve"> Harmonogram działań zmierzających do usunięcia wyrobów zawierających azbest na terenie gminy Mrocza</w:t>
      </w:r>
      <w:bookmarkEnd w:id="121"/>
    </w:p>
    <w:tbl>
      <w:tblPr>
        <w:tblW w:w="9251" w:type="dxa"/>
        <w:jc w:val="left"/>
        <w:tblInd w:w="0" w:type="dxa"/>
        <w:tblBorders>
          <w:top w:val="single" w:sz="8" w:space="0" w:color="9BBB59"/>
          <w:left w:val="single" w:sz="8" w:space="0" w:color="9BBB59"/>
          <w:bottom w:val="single" w:sz="18" w:space="0" w:color="9BBB59"/>
          <w:right w:val="single" w:sz="8" w:space="0" w:color="9BBB59"/>
          <w:insideH w:val="single" w:sz="18" w:space="0" w:color="9BBB59"/>
          <w:insideV w:val="single" w:sz="8" w:space="0" w:color="9BBB59"/>
        </w:tblBorders>
        <w:tblCellMar>
          <w:top w:w="0" w:type="dxa"/>
          <w:left w:w="107" w:type="dxa"/>
          <w:bottom w:w="0" w:type="dxa"/>
          <w:right w:w="108" w:type="dxa"/>
        </w:tblCellMar>
        <w:tblLook w:firstRow="1" w:noVBand="0" w:lastRow="0" w:firstColumn="1" w:lastColumn="1" w:noHBand="0" w:val="01a0"/>
      </w:tblPr>
      <w:tblGrid>
        <w:gridCol w:w="644"/>
        <w:gridCol w:w="3061"/>
        <w:gridCol w:w="3242"/>
        <w:gridCol w:w="2303"/>
      </w:tblGrid>
      <w:tr>
        <w:trPr/>
        <w:tc>
          <w:tcPr>
            <w:tcW w:w="644" w:type="dxa"/>
            <w:tcBorders>
              <w:top w:val="single" w:sz="8" w:space="0" w:color="9BBB59"/>
              <w:left w:val="single" w:sz="8" w:space="0" w:color="9BBB59"/>
              <w:bottom w:val="single" w:sz="18" w:space="0" w:color="9BBB59"/>
              <w:right w:val="single" w:sz="8" w:space="0" w:color="9BBB59"/>
              <w:insideH w:val="single" w:sz="18" w:space="0" w:color="9BBB59"/>
              <w:insideV w:val="single" w:sz="8" w:space="0" w:color="9BBB59"/>
            </w:tcBorders>
            <w:shd w:fill="auto" w:val="clear"/>
            <w:vAlign w:val="center"/>
          </w:tcPr>
          <w:p>
            <w:pPr>
              <w:pStyle w:val="Normal"/>
              <w:spacing w:lineRule="auto" w:line="240" w:before="0" w:after="0"/>
              <w:jc w:val="center"/>
              <w:rPr>
                <w:rFonts w:ascii="Arial" w:hAnsi="Arial" w:cs="Arial"/>
                <w:b/>
                <w:b/>
                <w:bCs/>
                <w:color w:val="000000"/>
                <w:sz w:val="20"/>
                <w:szCs w:val="20"/>
              </w:rPr>
            </w:pPr>
            <w:r>
              <w:rPr>
                <w:rFonts w:cs="Arial" w:ascii="Arial" w:hAnsi="Arial"/>
                <w:b/>
                <w:bCs/>
                <w:color w:val="000000"/>
                <w:sz w:val="20"/>
                <w:szCs w:val="20"/>
              </w:rPr>
              <w:t>Lp.</w:t>
            </w:r>
          </w:p>
        </w:tc>
        <w:tc>
          <w:tcPr>
            <w:tcW w:w="6303" w:type="dxa"/>
            <w:gridSpan w:val="2"/>
            <w:tcBorders>
              <w:top w:val="single" w:sz="8" w:space="0" w:color="9BBB59"/>
              <w:left w:val="single" w:sz="8" w:space="0" w:color="9BBB59"/>
              <w:bottom w:val="single" w:sz="18" w:space="0" w:color="9BBB59"/>
              <w:right w:val="single" w:sz="8" w:space="0" w:color="9BBB59"/>
              <w:insideH w:val="single" w:sz="18" w:space="0" w:color="9BBB59"/>
              <w:insideV w:val="single" w:sz="8" w:space="0" w:color="9BBB59"/>
            </w:tcBorders>
            <w:shd w:color="auto" w:fill="E6EED5" w:val="clear"/>
            <w:vAlign w:val="center"/>
          </w:tcPr>
          <w:p>
            <w:pPr>
              <w:pStyle w:val="Normal"/>
              <w:spacing w:lineRule="auto" w:line="240" w:before="0" w:after="0"/>
              <w:jc w:val="center"/>
              <w:rPr>
                <w:rFonts w:ascii="Arial" w:hAnsi="Arial" w:cs="Arial"/>
                <w:b/>
                <w:b/>
                <w:bCs/>
                <w:color w:val="000000"/>
                <w:sz w:val="20"/>
                <w:szCs w:val="20"/>
              </w:rPr>
            </w:pPr>
            <w:r>
              <w:rPr>
                <w:rFonts w:cs="Arial" w:ascii="Arial" w:hAnsi="Arial"/>
                <w:b/>
                <w:bCs/>
                <w:color w:val="000000"/>
                <w:sz w:val="20"/>
                <w:szCs w:val="20"/>
              </w:rPr>
              <w:t>Działanie</w:t>
            </w:r>
          </w:p>
        </w:tc>
        <w:tc>
          <w:tcPr>
            <w:tcW w:w="2303" w:type="dxa"/>
            <w:tcBorders>
              <w:top w:val="single" w:sz="8" w:space="0" w:color="9BBB59"/>
              <w:left w:val="single" w:sz="8" w:space="0" w:color="9BBB59"/>
              <w:bottom w:val="single" w:sz="18" w:space="0" w:color="9BBB59"/>
              <w:right w:val="single" w:sz="8" w:space="0" w:color="9BBB59"/>
              <w:insideH w:val="single" w:sz="18" w:space="0" w:color="9BBB59"/>
              <w:insideV w:val="single" w:sz="8" w:space="0" w:color="9BBB59"/>
            </w:tcBorders>
            <w:shd w:fill="auto" w:val="clear"/>
            <w:vAlign w:val="center"/>
          </w:tcPr>
          <w:p>
            <w:pPr>
              <w:pStyle w:val="Normal"/>
              <w:spacing w:lineRule="auto" w:line="240" w:before="0" w:after="0"/>
              <w:jc w:val="center"/>
              <w:rPr>
                <w:rFonts w:ascii="Arial" w:hAnsi="Arial" w:cs="Arial"/>
                <w:b/>
                <w:b/>
                <w:bCs/>
                <w:color w:val="000000"/>
                <w:sz w:val="20"/>
                <w:szCs w:val="20"/>
              </w:rPr>
            </w:pPr>
            <w:r>
              <w:rPr>
                <w:rFonts w:cs="Arial" w:ascii="Arial" w:hAnsi="Arial"/>
                <w:b/>
                <w:bCs/>
                <w:color w:val="000000"/>
                <w:sz w:val="20"/>
                <w:szCs w:val="20"/>
              </w:rPr>
              <w:t>Termin realizacji</w:t>
            </w:r>
          </w:p>
        </w:tc>
      </w:tr>
      <w:tr>
        <w:trPr/>
        <w:tc>
          <w:tcPr>
            <w:tcW w:w="644"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t>1.</w:t>
            </w:r>
          </w:p>
        </w:tc>
        <w:tc>
          <w:tcPr>
            <w:tcW w:w="6303" w:type="dxa"/>
            <w:gridSpan w:val="2"/>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rPr>
                <w:rFonts w:ascii="Arial" w:hAnsi="Arial" w:cs="Arial"/>
                <w:sz w:val="20"/>
                <w:szCs w:val="20"/>
              </w:rPr>
            </w:pPr>
            <w:r>
              <w:rPr>
                <w:rFonts w:cs="Arial" w:ascii="Arial" w:hAnsi="Arial"/>
                <w:sz w:val="20"/>
                <w:szCs w:val="20"/>
              </w:rPr>
              <w:t>Działalność informacyjna i edukacyjna skierowana do właścicieli, zarządców i użytkowników budynków, budowli i instalacji zawierających azbest np.:</w:t>
            </w:r>
          </w:p>
          <w:p>
            <w:pPr>
              <w:pStyle w:val="Normal"/>
              <w:spacing w:lineRule="auto" w:line="240" w:before="0" w:after="0"/>
              <w:rPr>
                <w:rFonts w:ascii="Arial" w:hAnsi="Arial" w:cs="Arial"/>
                <w:sz w:val="20"/>
                <w:szCs w:val="20"/>
              </w:rPr>
            </w:pPr>
            <w:r>
              <w:rPr>
                <w:rFonts w:cs="Arial" w:ascii="Arial" w:hAnsi="Arial"/>
                <w:sz w:val="20"/>
                <w:szCs w:val="20"/>
              </w:rPr>
              <w:t>- przygotowanie ulotek informacyjnych o szkodliwości azbestu i o obowiązkach związanych z koniecznością jego usuwania,</w:t>
            </w:r>
          </w:p>
          <w:p>
            <w:pPr>
              <w:pStyle w:val="Normal"/>
              <w:spacing w:lineRule="auto" w:line="240" w:before="0" w:after="0"/>
              <w:rPr>
                <w:rFonts w:ascii="Arial" w:hAnsi="Arial" w:cs="Arial"/>
                <w:sz w:val="20"/>
                <w:szCs w:val="20"/>
              </w:rPr>
            </w:pPr>
            <w:r>
              <w:rPr>
                <w:rFonts w:cs="Arial" w:ascii="Arial" w:hAnsi="Arial"/>
                <w:sz w:val="20"/>
                <w:szCs w:val="20"/>
              </w:rPr>
              <w:t>- przygotowanie stałej informacji, na stronach internetowych, poświęconej tematyce azbestu,</w:t>
            </w:r>
          </w:p>
          <w:p>
            <w:pPr>
              <w:pStyle w:val="Normal"/>
              <w:spacing w:lineRule="auto" w:line="240" w:before="0" w:after="0"/>
              <w:rPr>
                <w:rFonts w:ascii="Arial" w:hAnsi="Arial" w:cs="Arial"/>
                <w:sz w:val="20"/>
                <w:szCs w:val="20"/>
              </w:rPr>
            </w:pPr>
            <w:r>
              <w:rPr>
                <w:rFonts w:cs="Arial" w:ascii="Arial" w:hAnsi="Arial"/>
                <w:sz w:val="20"/>
                <w:szCs w:val="20"/>
              </w:rPr>
              <w:t>- okresowe publikacje w prasie lokalnej dotyczące w/w tematyki,</w:t>
            </w:r>
          </w:p>
          <w:p>
            <w:pPr>
              <w:pStyle w:val="Normal"/>
              <w:spacing w:lineRule="auto" w:line="240" w:before="0" w:after="0"/>
              <w:rPr>
                <w:rFonts w:ascii="Arial" w:hAnsi="Arial" w:cs="Arial"/>
                <w:sz w:val="20"/>
                <w:szCs w:val="20"/>
              </w:rPr>
            </w:pPr>
            <w:r>
              <w:rPr>
                <w:rFonts w:cs="Arial" w:ascii="Arial" w:hAnsi="Arial"/>
                <w:sz w:val="20"/>
                <w:szCs w:val="20"/>
              </w:rPr>
              <w:t>- przeprowadzenie kampanii edukacyjnych dot. bezpiecznego usuwania wyrobów azbestowych</w:t>
            </w:r>
          </w:p>
        </w:tc>
        <w:tc>
          <w:tcPr>
            <w:tcW w:w="2303"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t>przez cały okres realizacji programu</w:t>
            </w:r>
          </w:p>
        </w:tc>
      </w:tr>
      <w:tr>
        <w:trPr/>
        <w:tc>
          <w:tcPr>
            <w:tcW w:w="644"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t>2.</w:t>
            </w:r>
          </w:p>
        </w:tc>
        <w:tc>
          <w:tcPr>
            <w:tcW w:w="6303" w:type="dxa"/>
            <w:gridSpan w:val="2"/>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rPr>
                <w:rFonts w:ascii="Arial" w:hAnsi="Arial" w:cs="Arial"/>
                <w:sz w:val="20"/>
                <w:szCs w:val="20"/>
              </w:rPr>
            </w:pPr>
            <w:r>
              <w:rPr>
                <w:rFonts w:cs="Arial" w:ascii="Arial" w:hAnsi="Arial"/>
                <w:sz w:val="20"/>
                <w:szCs w:val="20"/>
              </w:rPr>
              <w:t xml:space="preserve">Aktualizacja bazy danych dotyczącej podmiotów i ilości azbestu i wyrobów zawierających azbest na terenie gminy (poprzez narzędzie Baza Azbestowa) </w:t>
            </w:r>
          </w:p>
        </w:tc>
        <w:tc>
          <w:tcPr>
            <w:tcW w:w="2303"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t>przez cały okres realizacji programu</w:t>
            </w:r>
          </w:p>
        </w:tc>
      </w:tr>
      <w:tr>
        <w:trPr/>
        <w:tc>
          <w:tcPr>
            <w:tcW w:w="644"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t>3.</w:t>
            </w:r>
          </w:p>
        </w:tc>
        <w:tc>
          <w:tcPr>
            <w:tcW w:w="6303" w:type="dxa"/>
            <w:gridSpan w:val="2"/>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rPr>
                <w:rFonts w:ascii="Arial" w:hAnsi="Arial" w:cs="Arial"/>
                <w:sz w:val="20"/>
                <w:szCs w:val="20"/>
              </w:rPr>
            </w:pPr>
            <w:r>
              <w:rPr>
                <w:rFonts w:cs="Arial" w:ascii="Arial" w:hAnsi="Arial"/>
                <w:sz w:val="20"/>
                <w:szCs w:val="20"/>
              </w:rPr>
              <w:t>Rozeznanie możliwości pozyskania środków finansowych na demontaż, transport i unieszkodliwianie wyrobów zawierających azbest.</w:t>
            </w:r>
          </w:p>
        </w:tc>
        <w:tc>
          <w:tcPr>
            <w:tcW w:w="2303"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t>2019 – 2032</w:t>
            </w:r>
          </w:p>
        </w:tc>
      </w:tr>
      <w:tr>
        <w:trPr>
          <w:trHeight w:val="345" w:hRule="atLeast"/>
        </w:trPr>
        <w:tc>
          <w:tcPr>
            <w:tcW w:w="644"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t>5.</w:t>
            </w:r>
          </w:p>
        </w:tc>
        <w:tc>
          <w:tcPr>
            <w:tcW w:w="6303" w:type="dxa"/>
            <w:gridSpan w:val="2"/>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rPr>
                <w:rFonts w:ascii="Arial" w:hAnsi="Arial" w:cs="Arial"/>
                <w:sz w:val="20"/>
                <w:szCs w:val="20"/>
              </w:rPr>
            </w:pPr>
            <w:r>
              <w:rPr>
                <w:rFonts w:cs="Arial" w:ascii="Arial" w:hAnsi="Arial"/>
                <w:sz w:val="20"/>
                <w:szCs w:val="20"/>
              </w:rPr>
              <w:t>Aktualizowanie mapy zagrożeń działania azbestu.</w:t>
            </w:r>
          </w:p>
        </w:tc>
        <w:tc>
          <w:tcPr>
            <w:tcW w:w="2303"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t>przez cały okres realizacji programu</w:t>
            </w:r>
          </w:p>
        </w:tc>
      </w:tr>
      <w:tr>
        <w:trPr/>
        <w:tc>
          <w:tcPr>
            <w:tcW w:w="644" w:type="dxa"/>
            <w:vMerge w:val="restart"/>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t>6.</w:t>
            </w:r>
          </w:p>
        </w:tc>
        <w:tc>
          <w:tcPr>
            <w:tcW w:w="3061" w:type="dxa"/>
            <w:vMerge w:val="restart"/>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jc w:val="center"/>
              <w:rPr>
                <w:rFonts w:ascii="Arial" w:hAnsi="Arial" w:cs="Arial"/>
                <w:sz w:val="20"/>
                <w:szCs w:val="20"/>
              </w:rPr>
            </w:pPr>
            <w:r>
              <w:rPr>
                <w:rFonts w:cs="Arial" w:ascii="Arial" w:hAnsi="Arial"/>
                <w:sz w:val="20"/>
                <w:szCs w:val="20"/>
              </w:rPr>
              <w:t>Kontynuacja programu udzielania dotacji celowej do usuwania wyrobów zawierających azbest właścicielom obiektów zlokalizowanych na terenie gminy zgodnie z przyjętym regulaminem</w:t>
            </w:r>
          </w:p>
          <w:p>
            <w:pPr>
              <w:pStyle w:val="Normal"/>
              <w:spacing w:lineRule="auto" w:line="240" w:before="0" w:after="0"/>
              <w:rPr>
                <w:rFonts w:ascii="Arial" w:hAnsi="Arial" w:cs="Arial"/>
                <w:sz w:val="20"/>
                <w:szCs w:val="20"/>
              </w:rPr>
            </w:pPr>
            <w:r>
              <w:rPr>
                <w:rFonts w:cs="Arial" w:ascii="Arial" w:hAnsi="Arial"/>
                <w:sz w:val="20"/>
                <w:szCs w:val="20"/>
              </w:rPr>
            </w:r>
          </w:p>
        </w:tc>
        <w:tc>
          <w:tcPr>
            <w:tcW w:w="3242"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vAlign w:val="center"/>
          </w:tcPr>
          <w:p>
            <w:pPr>
              <w:pStyle w:val="Normal"/>
              <w:spacing w:lineRule="auto" w:line="240" w:before="0" w:after="0"/>
              <w:rPr>
                <w:rFonts w:ascii="Arial" w:hAnsi="Arial" w:cs="Arial"/>
                <w:sz w:val="20"/>
                <w:szCs w:val="20"/>
              </w:rPr>
            </w:pPr>
            <w:r>
              <w:rPr>
                <w:rFonts w:cs="Arial" w:ascii="Arial" w:hAnsi="Arial"/>
                <w:sz w:val="20"/>
                <w:szCs w:val="20"/>
              </w:rPr>
              <w:t>Założenie i prowadzenie rejestru wniosków i ich realizacja zgodnie z zachowaniem kolejności złożenia</w:t>
            </w:r>
          </w:p>
        </w:tc>
        <w:tc>
          <w:tcPr>
            <w:tcW w:w="2303"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t>2019 - 2032</w:t>
            </w:r>
          </w:p>
        </w:tc>
      </w:tr>
      <w:tr>
        <w:trPr/>
        <w:tc>
          <w:tcPr>
            <w:tcW w:w="644" w:type="dxa"/>
            <w:vMerge w:val="continue"/>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r>
          </w:p>
        </w:tc>
        <w:tc>
          <w:tcPr>
            <w:tcW w:w="3061" w:type="dxa"/>
            <w:vMerge w:val="continue"/>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rPr>
                <w:rFonts w:ascii="Arial" w:hAnsi="Arial" w:cs="Arial"/>
                <w:sz w:val="20"/>
                <w:szCs w:val="20"/>
              </w:rPr>
            </w:pPr>
            <w:r>
              <w:rPr>
                <w:rFonts w:cs="Arial" w:ascii="Arial" w:hAnsi="Arial"/>
                <w:sz w:val="20"/>
                <w:szCs w:val="20"/>
              </w:rPr>
            </w:r>
          </w:p>
        </w:tc>
        <w:tc>
          <w:tcPr>
            <w:tcW w:w="3242"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rPr>
                <w:rFonts w:ascii="Arial" w:hAnsi="Arial" w:cs="Arial"/>
                <w:sz w:val="20"/>
                <w:szCs w:val="20"/>
              </w:rPr>
            </w:pPr>
            <w:r>
              <w:rPr>
                <w:rFonts w:cs="Arial" w:ascii="Arial" w:hAnsi="Arial"/>
                <w:sz w:val="20"/>
                <w:szCs w:val="20"/>
              </w:rPr>
              <w:t>Pozyskiwanie funduszy na realizację „Programu…”</w:t>
            </w:r>
          </w:p>
        </w:tc>
        <w:tc>
          <w:tcPr>
            <w:tcW w:w="2303"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t>2019- 2032</w:t>
            </w:r>
          </w:p>
        </w:tc>
      </w:tr>
      <w:tr>
        <w:trPr/>
        <w:tc>
          <w:tcPr>
            <w:tcW w:w="644" w:type="dxa"/>
            <w:vMerge w:val="continue"/>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r>
          </w:p>
        </w:tc>
        <w:tc>
          <w:tcPr>
            <w:tcW w:w="3061" w:type="dxa"/>
            <w:vMerge w:val="continue"/>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rPr>
                <w:rFonts w:ascii="Arial" w:hAnsi="Arial" w:cs="Arial"/>
                <w:sz w:val="20"/>
                <w:szCs w:val="20"/>
              </w:rPr>
            </w:pPr>
            <w:r>
              <w:rPr>
                <w:rFonts w:cs="Arial" w:ascii="Arial" w:hAnsi="Arial"/>
                <w:sz w:val="20"/>
                <w:szCs w:val="20"/>
              </w:rPr>
            </w:r>
          </w:p>
        </w:tc>
        <w:tc>
          <w:tcPr>
            <w:tcW w:w="3242"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vAlign w:val="center"/>
          </w:tcPr>
          <w:p>
            <w:pPr>
              <w:pStyle w:val="Normal"/>
              <w:spacing w:lineRule="auto" w:line="240" w:before="0" w:after="0"/>
              <w:rPr>
                <w:rFonts w:ascii="Arial" w:hAnsi="Arial" w:cs="Arial"/>
                <w:color w:val="000000"/>
                <w:sz w:val="20"/>
                <w:szCs w:val="20"/>
              </w:rPr>
            </w:pPr>
            <w:r>
              <w:rPr>
                <w:rFonts w:cs="Arial" w:ascii="Arial" w:hAnsi="Arial"/>
                <w:color w:val="000000"/>
                <w:sz w:val="20"/>
                <w:szCs w:val="20"/>
              </w:rPr>
              <w:t>Wyłonienie przewoźnika i wykonawcy na podstawie przepisów o zamówieniach publicznych</w:t>
            </w:r>
          </w:p>
        </w:tc>
        <w:tc>
          <w:tcPr>
            <w:tcW w:w="2303"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t>2019 - 2032</w:t>
            </w:r>
          </w:p>
        </w:tc>
      </w:tr>
      <w:tr>
        <w:trPr/>
        <w:tc>
          <w:tcPr>
            <w:tcW w:w="644" w:type="dxa"/>
            <w:vMerge w:val="continue"/>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r>
          </w:p>
        </w:tc>
        <w:tc>
          <w:tcPr>
            <w:tcW w:w="3061" w:type="dxa"/>
            <w:vMerge w:val="continue"/>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rPr>
                <w:rFonts w:ascii="Arial" w:hAnsi="Arial" w:cs="Arial"/>
                <w:sz w:val="20"/>
                <w:szCs w:val="20"/>
              </w:rPr>
            </w:pPr>
            <w:r>
              <w:rPr>
                <w:rFonts w:cs="Arial" w:ascii="Arial" w:hAnsi="Arial"/>
                <w:sz w:val="20"/>
                <w:szCs w:val="20"/>
              </w:rPr>
            </w:r>
          </w:p>
        </w:tc>
        <w:tc>
          <w:tcPr>
            <w:tcW w:w="3242"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rPr>
                <w:rFonts w:ascii="Arial" w:hAnsi="Arial" w:cs="Arial"/>
                <w:sz w:val="20"/>
                <w:szCs w:val="20"/>
              </w:rPr>
            </w:pPr>
            <w:r>
              <w:rPr>
                <w:rFonts w:cs="Arial" w:ascii="Arial" w:hAnsi="Arial"/>
                <w:sz w:val="20"/>
                <w:szCs w:val="20"/>
              </w:rPr>
              <w:t>Odbiór, transport, unieszkodliwianie odpadów zawierających azbest</w:t>
            </w:r>
          </w:p>
        </w:tc>
        <w:tc>
          <w:tcPr>
            <w:tcW w:w="2303"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t>2019 - 2032</w:t>
            </w:r>
          </w:p>
        </w:tc>
      </w:tr>
      <w:tr>
        <w:trPr/>
        <w:tc>
          <w:tcPr>
            <w:tcW w:w="644"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t>7.</w:t>
            </w:r>
          </w:p>
        </w:tc>
        <w:tc>
          <w:tcPr>
            <w:tcW w:w="6303" w:type="dxa"/>
            <w:gridSpan w:val="2"/>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Tretekstu"/>
              <w:spacing w:lineRule="auto" w:line="240" w:before="0" w:after="120"/>
              <w:rPr>
                <w:rFonts w:ascii="Arial" w:hAnsi="Arial" w:cs="Arial"/>
                <w:sz w:val="20"/>
                <w:szCs w:val="20"/>
              </w:rPr>
            </w:pPr>
            <w:r>
              <w:rPr>
                <w:rFonts w:cs="Arial" w:ascii="Arial" w:hAnsi="Arial"/>
                <w:sz w:val="20"/>
                <w:szCs w:val="20"/>
              </w:rPr>
              <w:t xml:space="preserve">Monitorowanie: demontażu, transportu i unieszkodliwiania wyrobów zawierających azbest na terenie gminy – aktualizacja danych w  Bazie Azbestowej </w:t>
            </w:r>
          </w:p>
        </w:tc>
        <w:tc>
          <w:tcPr>
            <w:tcW w:w="2303"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t>do 2032</w:t>
            </w:r>
          </w:p>
        </w:tc>
      </w:tr>
      <w:tr>
        <w:trPr/>
        <w:tc>
          <w:tcPr>
            <w:tcW w:w="644"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jc w:val="center"/>
              <w:rPr>
                <w:rFonts w:ascii="Arial" w:hAnsi="Arial" w:cs="Arial"/>
                <w:b/>
                <w:b/>
                <w:bCs/>
                <w:sz w:val="20"/>
                <w:szCs w:val="20"/>
              </w:rPr>
            </w:pPr>
            <w:r>
              <w:rPr>
                <w:rFonts w:cs="Arial" w:ascii="Arial" w:hAnsi="Arial"/>
                <w:b/>
                <w:bCs/>
                <w:sz w:val="20"/>
                <w:szCs w:val="20"/>
              </w:rPr>
              <w:t>8.</w:t>
            </w:r>
          </w:p>
        </w:tc>
        <w:tc>
          <w:tcPr>
            <w:tcW w:w="6303" w:type="dxa"/>
            <w:gridSpan w:val="2"/>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rPr>
                <w:rFonts w:ascii="Arial" w:hAnsi="Arial" w:cs="Arial"/>
                <w:sz w:val="20"/>
                <w:szCs w:val="20"/>
              </w:rPr>
            </w:pPr>
            <w:r>
              <w:rPr>
                <w:rFonts w:cs="Arial" w:ascii="Arial" w:hAnsi="Arial"/>
                <w:sz w:val="20"/>
                <w:szCs w:val="20"/>
              </w:rPr>
              <w:t>Przedstawienie Radzie Gminy sprawozdania z przebiegu realizacji „Programu…”.</w:t>
            </w:r>
          </w:p>
        </w:tc>
        <w:tc>
          <w:tcPr>
            <w:tcW w:w="2303"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vAlign w:val="center"/>
          </w:tcPr>
          <w:p>
            <w:pPr>
              <w:pStyle w:val="Normal"/>
              <w:spacing w:lineRule="auto" w:line="240" w:before="0" w:after="0"/>
              <w:jc w:val="center"/>
              <w:rPr>
                <w:rFonts w:ascii="Arial" w:hAnsi="Arial" w:cs="Arial"/>
                <w:b/>
                <w:b/>
                <w:bCs/>
                <w:color w:val="FF0000"/>
                <w:sz w:val="20"/>
                <w:szCs w:val="20"/>
              </w:rPr>
            </w:pPr>
            <w:r>
              <w:rPr>
                <w:rFonts w:cs="Arial" w:ascii="Arial" w:hAnsi="Arial"/>
                <w:b/>
                <w:bCs/>
                <w:color w:val="000000"/>
                <w:sz w:val="20"/>
                <w:szCs w:val="20"/>
              </w:rPr>
              <w:t>co 2 lata</w:t>
            </w:r>
          </w:p>
        </w:tc>
      </w:tr>
    </w:tbl>
    <w:p>
      <w:pPr>
        <w:pStyle w:val="Normal"/>
        <w:spacing w:lineRule="auto" w:line="360"/>
        <w:jc w:val="center"/>
        <w:rPr>
          <w:rFonts w:ascii="Arial" w:hAnsi="Arial" w:cs="Arial"/>
          <w:i/>
          <w:i/>
          <w:sz w:val="18"/>
          <w:szCs w:val="18"/>
        </w:rPr>
      </w:pPr>
      <w:r>
        <w:rPr>
          <w:rFonts w:cs="Arial" w:ascii="Arial" w:hAnsi="Arial"/>
          <w:i/>
          <w:sz w:val="18"/>
          <w:szCs w:val="18"/>
        </w:rPr>
        <w:t>Źródło: Opracowanie własne.</w:t>
      </w:r>
    </w:p>
    <w:p>
      <w:pPr>
        <w:pStyle w:val="Nagwek2"/>
        <w:jc w:val="both"/>
        <w:rPr>
          <w:rFonts w:cs="Arial"/>
        </w:rPr>
      </w:pPr>
      <w:bookmarkStart w:id="122" w:name="_Toc20296881"/>
      <w:bookmarkStart w:id="123" w:name="_Toc327780819"/>
      <w:bookmarkStart w:id="124" w:name="_Toc330505324"/>
      <w:bookmarkStart w:id="125" w:name="_Toc331346084"/>
      <w:bookmarkStart w:id="126" w:name="_Toc334432859"/>
      <w:bookmarkStart w:id="127" w:name="_Toc278442762"/>
      <w:r>
        <w:rPr/>
        <w:t xml:space="preserve">5.7. Oszacowanie kosztów usuwania wyrobów zawierających azbest na obszarze </w:t>
      </w:r>
      <w:bookmarkEnd w:id="127"/>
      <w:r>
        <w:rPr/>
        <w:t xml:space="preserve">gminy </w:t>
      </w:r>
      <w:bookmarkEnd w:id="123"/>
      <w:bookmarkEnd w:id="124"/>
      <w:bookmarkEnd w:id="125"/>
      <w:bookmarkEnd w:id="126"/>
      <w:r>
        <w:rPr>
          <w:rFonts w:cs="Arial"/>
        </w:rPr>
        <w:t>Mrocza</w:t>
      </w:r>
      <w:bookmarkEnd w:id="122"/>
    </w:p>
    <w:p>
      <w:pPr>
        <w:pStyle w:val="Normal"/>
        <w:rPr/>
      </w:pPr>
      <w:r>
        <w:rPr/>
      </w:r>
    </w:p>
    <w:p>
      <w:pPr>
        <w:pStyle w:val="Normal"/>
        <w:spacing w:lineRule="auto" w:line="360"/>
        <w:ind w:firstLine="567"/>
        <w:jc w:val="both"/>
        <w:rPr>
          <w:rFonts w:ascii="Arial" w:hAnsi="Arial" w:cs="Arial"/>
        </w:rPr>
      </w:pPr>
      <w:r>
        <w:rPr>
          <w:rFonts w:cs="Arial" w:ascii="Arial" w:hAnsi="Arial"/>
        </w:rPr>
        <w:t xml:space="preserve">Wg danych zamieszczonych w Bazie Azbestowej na terenie gminy aktualnie pozostaje do unieszkodliwienia ok. 4 037 Mg takich wyrobów. </w:t>
      </w:r>
    </w:p>
    <w:p>
      <w:pPr>
        <w:pStyle w:val="Normal"/>
        <w:spacing w:lineRule="auto" w:line="360" w:before="0" w:after="0"/>
        <w:ind w:firstLine="567"/>
        <w:jc w:val="both"/>
        <w:rPr>
          <w:rFonts w:ascii="Arial" w:hAnsi="Arial" w:cs="Arial"/>
        </w:rPr>
      </w:pPr>
      <w:r>
        <w:rPr>
          <w:rFonts w:cs="Arial" w:ascii="Arial" w:hAnsi="Arial"/>
        </w:rPr>
        <w:t xml:space="preserve">Na ogólne koszty likwidacji azbestu składają się różne elementy, wynikające z poszczególnych etapów działań, jakie należy wykonać dla bezpiecznego i zgodnego z przepisami prawnymi rozwiązania problemu. Do takich etapów należą: </w:t>
      </w:r>
    </w:p>
    <w:p>
      <w:pPr>
        <w:pStyle w:val="ListParagraph"/>
        <w:numPr>
          <w:ilvl w:val="0"/>
          <w:numId w:val="54"/>
        </w:numPr>
        <w:spacing w:lineRule="auto" w:line="360" w:before="0" w:after="0"/>
        <w:contextualSpacing/>
        <w:jc w:val="both"/>
        <w:rPr>
          <w:rFonts w:ascii="Arial" w:hAnsi="Arial" w:cs="Arial"/>
        </w:rPr>
      </w:pPr>
      <w:r>
        <w:rPr>
          <w:rFonts w:cs="Arial" w:ascii="Arial" w:hAnsi="Arial"/>
        </w:rPr>
        <w:t>fizyczny demontaż, rozbiórka obiektów (lub ich części), w których występują materiały zawierające azbest,</w:t>
      </w:r>
    </w:p>
    <w:p>
      <w:pPr>
        <w:pStyle w:val="ListParagraph"/>
        <w:numPr>
          <w:ilvl w:val="0"/>
          <w:numId w:val="54"/>
        </w:numPr>
        <w:spacing w:lineRule="auto" w:line="360" w:before="0" w:after="0"/>
        <w:contextualSpacing/>
        <w:jc w:val="both"/>
        <w:rPr>
          <w:rFonts w:ascii="Arial" w:hAnsi="Arial" w:cs="Arial"/>
        </w:rPr>
      </w:pPr>
      <w:r>
        <w:rPr>
          <w:rFonts w:cs="Arial" w:ascii="Arial" w:hAnsi="Arial"/>
        </w:rPr>
        <w:t>magazynowanie powstałych odpadów w miejscu demontażu lub w punkcie zbiorczym ustalonym na czas prac w rejonie ich prowadzenia,</w:t>
      </w:r>
    </w:p>
    <w:p>
      <w:pPr>
        <w:pStyle w:val="ListParagraph"/>
        <w:numPr>
          <w:ilvl w:val="0"/>
          <w:numId w:val="54"/>
        </w:numPr>
        <w:spacing w:lineRule="auto" w:line="360" w:before="0" w:after="0"/>
        <w:contextualSpacing/>
        <w:jc w:val="both"/>
        <w:rPr>
          <w:rFonts w:ascii="Arial" w:hAnsi="Arial" w:cs="Arial"/>
        </w:rPr>
      </w:pPr>
      <w:r>
        <w:rPr>
          <w:rFonts w:cs="Arial" w:ascii="Arial" w:hAnsi="Arial"/>
        </w:rPr>
        <w:t>transport właściwie zabezpieczonych odpadów za pomocą odpowiednio przystosowanych pojazdów posiadających atest ADR. Transport odbywa się na trasie miejsca wytworzenia – miejsca magazynowania – miejsca ostatecznej utylizacji (składowania),</w:t>
      </w:r>
    </w:p>
    <w:p>
      <w:pPr>
        <w:pStyle w:val="ListParagraph"/>
        <w:numPr>
          <w:ilvl w:val="0"/>
          <w:numId w:val="54"/>
        </w:numPr>
        <w:spacing w:lineRule="auto" w:line="360" w:before="0" w:after="0"/>
        <w:contextualSpacing/>
        <w:jc w:val="both"/>
        <w:rPr>
          <w:rFonts w:ascii="Arial" w:hAnsi="Arial" w:cs="Arial"/>
        </w:rPr>
      </w:pPr>
      <w:r>
        <w:rPr>
          <w:rFonts w:cs="Arial" w:ascii="Arial" w:hAnsi="Arial"/>
        </w:rPr>
        <w:t>składowanie odpadów niebezpiecznych – unieszkodliwianie.</w:t>
      </w:r>
    </w:p>
    <w:p>
      <w:pPr>
        <w:pStyle w:val="Normal"/>
        <w:spacing w:lineRule="auto" w:line="360" w:before="0" w:after="0"/>
        <w:jc w:val="both"/>
        <w:rPr>
          <w:rFonts w:ascii="Arial" w:hAnsi="Arial" w:cs="Arial"/>
        </w:rPr>
      </w:pPr>
      <w:r>
        <w:rPr>
          <w:rFonts w:cs="Arial" w:ascii="Arial" w:hAnsi="Arial"/>
        </w:rPr>
        <w:tab/>
        <w:t xml:space="preserve">Usuwanie wyrobów zawierających azbest jest kosztownym przedsięwzięciem. Dla oszacowania prawdopodobnych kosztów przedsięwzięcia, polegającego na demontażu, transporcie oraz składowaniu wyrobów zawierających azbest z terenu gminy przyjęto poziom cen według danych z 2018 roku. Koszt unieszkodliwienia </w:t>
      </w:r>
      <w:r>
        <w:rPr>
          <w:rFonts w:cs="Arial" w:ascii="Arial" w:hAnsi="Arial"/>
          <w:b/>
        </w:rPr>
        <w:t>1 m</w:t>
      </w:r>
      <w:r>
        <w:rPr>
          <w:rFonts w:cs="Arial" w:ascii="Arial" w:hAnsi="Arial"/>
          <w:b/>
          <w:vertAlign w:val="superscript"/>
        </w:rPr>
        <w:t xml:space="preserve">2 </w:t>
      </w:r>
      <w:r>
        <w:rPr>
          <w:rFonts w:cs="Arial" w:ascii="Arial" w:hAnsi="Arial"/>
        </w:rPr>
        <w:t xml:space="preserve">wyrobów azbestu przyjęto na poziomie </w:t>
      </w:r>
      <w:r>
        <w:rPr>
          <w:rFonts w:cs="Arial" w:ascii="Arial" w:hAnsi="Arial"/>
          <w:b/>
        </w:rPr>
        <w:t>35 zł brutto/m</w:t>
      </w:r>
      <w:r>
        <w:rPr>
          <w:rFonts w:cs="Arial" w:ascii="Arial" w:hAnsi="Arial"/>
          <w:b/>
          <w:vertAlign w:val="superscript"/>
        </w:rPr>
        <w:t>2</w:t>
      </w:r>
      <w:r>
        <w:rPr>
          <w:rFonts w:cs="Arial" w:ascii="Arial" w:hAnsi="Arial"/>
          <w:b/>
        </w:rPr>
        <w:t xml:space="preserve"> co po przeliczeniu daje ok. 2 333 zł brutto/Mg</w:t>
      </w:r>
      <w:r>
        <w:rPr>
          <w:rStyle w:val="Zakotwiczenieprzypisudolnego"/>
          <w:rStyle w:val="Zakotwiczenieprzypisudolnego"/>
          <w:rFonts w:cs="Arial" w:ascii="Arial" w:hAnsi="Arial"/>
          <w:b/>
        </w:rPr>
        <w:footnoteReference w:id="12"/>
      </w:r>
      <w:r>
        <w:rPr>
          <w:rFonts w:cs="Arial" w:ascii="Arial" w:hAnsi="Arial"/>
          <w:b/>
        </w:rPr>
        <w:t xml:space="preserve"> </w:t>
      </w:r>
      <w:r>
        <w:rPr>
          <w:rFonts w:cs="Arial" w:ascii="Arial" w:hAnsi="Arial"/>
        </w:rPr>
        <w:t>(kwota obejmuje demontaż, transport i unieszkodliwienie poprzez składowanie).</w:t>
      </w:r>
    </w:p>
    <w:p>
      <w:pPr>
        <w:pStyle w:val="Normal"/>
        <w:spacing w:lineRule="auto" w:line="360" w:before="0" w:after="0"/>
        <w:ind w:firstLine="708"/>
        <w:jc w:val="both"/>
        <w:rPr>
          <w:rFonts w:ascii="Arial" w:hAnsi="Arial" w:cs="Arial"/>
        </w:rPr>
      </w:pPr>
      <w:r>
        <w:rPr>
          <w:rFonts w:cs="Arial" w:ascii="Arial" w:hAnsi="Arial"/>
        </w:rPr>
        <w:t>Koszt ten został uwzględniony w Programie po przeprowadzeniu analizy rynku firm</w:t>
        <w:br/>
        <w:t>i przedsiębiorstw w województwie kujawsko-pomorskim zajmujących się usuwaniem, unieszkodliwianiem, transportem i zabezpieczaniem wyrobów zawierających azbest.</w:t>
      </w:r>
    </w:p>
    <w:p>
      <w:pPr>
        <w:pStyle w:val="Normal"/>
        <w:spacing w:lineRule="auto" w:line="360" w:before="0" w:after="0"/>
        <w:jc w:val="both"/>
        <w:rPr>
          <w:rFonts w:ascii="Arial" w:hAnsi="Arial" w:cs="Arial"/>
          <w:color w:val="000000"/>
        </w:rPr>
      </w:pPr>
      <w:r>
        <w:rPr>
          <w:rFonts w:cs="Arial" w:ascii="Arial" w:hAnsi="Arial"/>
          <w:color w:val="000000"/>
        </w:rPr>
        <w:t>Szacunkowe koszty usunięcia płyt azbestowo-cementowych z obiektów objętych obliczeniami, według stopnia pilności:</w:t>
      </w:r>
    </w:p>
    <w:p>
      <w:pPr>
        <w:pStyle w:val="ListParagraph"/>
        <w:numPr>
          <w:ilvl w:val="0"/>
          <w:numId w:val="56"/>
        </w:numPr>
        <w:spacing w:lineRule="auto" w:line="360" w:before="0" w:after="0"/>
        <w:contextualSpacing/>
        <w:jc w:val="both"/>
        <w:rPr>
          <w:rFonts w:ascii="Arial" w:hAnsi="Arial" w:cs="Arial"/>
          <w:color w:val="000000"/>
        </w:rPr>
      </w:pPr>
      <w:r>
        <w:rPr>
          <w:rFonts w:cs="Arial" w:ascii="Arial" w:hAnsi="Arial"/>
          <w:b/>
          <w:color w:val="000000"/>
        </w:rPr>
        <w:t>I stopień</w:t>
      </w:r>
      <w:r>
        <w:rPr>
          <w:rFonts w:cs="Arial" w:ascii="Arial" w:hAnsi="Arial"/>
          <w:color w:val="000000"/>
        </w:rPr>
        <w:t xml:space="preserve"> – wymagane bezzwłoczne usunięcie - szacowany koszt to ok.:</w:t>
      </w:r>
      <w:r>
        <w:rPr/>
        <w:t xml:space="preserve"> </w:t>
      </w:r>
      <w:r>
        <w:rPr>
          <w:rFonts w:cs="Arial" w:ascii="Arial" w:hAnsi="Arial"/>
          <w:b/>
          <w:color w:val="000000"/>
        </w:rPr>
        <w:t xml:space="preserve">2 230 348 zł </w:t>
      </w:r>
    </w:p>
    <w:p>
      <w:pPr>
        <w:pStyle w:val="ListParagraph"/>
        <w:numPr>
          <w:ilvl w:val="0"/>
          <w:numId w:val="56"/>
        </w:numPr>
        <w:spacing w:lineRule="auto" w:line="360" w:before="0" w:after="0"/>
        <w:contextualSpacing/>
        <w:jc w:val="both"/>
        <w:rPr>
          <w:rFonts w:ascii="Arial" w:hAnsi="Arial" w:cs="Arial"/>
          <w:color w:val="000000"/>
        </w:rPr>
      </w:pPr>
      <w:r>
        <w:rPr>
          <w:rFonts w:cs="Arial" w:ascii="Arial" w:hAnsi="Arial"/>
          <w:b/>
          <w:color w:val="000000"/>
        </w:rPr>
        <w:t>II stopień</w:t>
      </w:r>
      <w:r>
        <w:rPr>
          <w:rFonts w:cs="Arial" w:ascii="Arial" w:hAnsi="Arial"/>
          <w:color w:val="000000"/>
        </w:rPr>
        <w:t xml:space="preserve"> – ponowna ocena stopnia pilności usunięcia wyrobu do roku od ostatniej oceny  – szacowany koszt usunięcia to ok.: </w:t>
      </w:r>
      <w:r>
        <w:rPr>
          <w:rFonts w:cs="Arial" w:ascii="Arial" w:hAnsi="Arial"/>
          <w:b/>
          <w:bCs/>
          <w:color w:val="000000"/>
        </w:rPr>
        <w:t>303 290 zł</w:t>
      </w:r>
    </w:p>
    <w:p>
      <w:pPr>
        <w:pStyle w:val="ListParagraph"/>
        <w:numPr>
          <w:ilvl w:val="0"/>
          <w:numId w:val="56"/>
        </w:numPr>
        <w:spacing w:lineRule="auto" w:line="360" w:before="0" w:after="0"/>
        <w:contextualSpacing/>
        <w:jc w:val="both"/>
        <w:rPr>
          <w:rFonts w:ascii="Arial" w:hAnsi="Arial" w:cs="Arial"/>
          <w:color w:val="000000"/>
        </w:rPr>
      </w:pPr>
      <w:r>
        <w:rPr>
          <w:rFonts w:cs="Arial" w:ascii="Arial" w:hAnsi="Arial"/>
          <w:b/>
          <w:color w:val="000000"/>
        </w:rPr>
        <w:t>III stopień</w:t>
      </w:r>
      <w:r>
        <w:rPr>
          <w:rFonts w:cs="Arial" w:ascii="Arial" w:hAnsi="Arial"/>
          <w:color w:val="000000"/>
        </w:rPr>
        <w:t xml:space="preserve"> – ponowna ocena stopnia pilności usunięcia wyrobu  do 5 lat od ostatniej oceny– szacowany koszt usunięcia to: </w:t>
      </w:r>
      <w:r>
        <w:rPr>
          <w:rFonts w:cs="Arial" w:ascii="Arial" w:hAnsi="Arial"/>
          <w:b/>
          <w:color w:val="000000"/>
        </w:rPr>
        <w:t xml:space="preserve">6 884 683 zł </w:t>
      </w:r>
    </w:p>
    <w:p>
      <w:pPr>
        <w:pStyle w:val="Normal"/>
        <w:spacing w:lineRule="auto" w:line="360" w:before="0" w:after="0"/>
        <w:ind w:firstLine="708"/>
        <w:jc w:val="both"/>
        <w:rPr>
          <w:rFonts w:ascii="Arial" w:hAnsi="Arial" w:cs="Arial"/>
          <w:b/>
          <w:b/>
        </w:rPr>
      </w:pPr>
      <w:r>
        <w:rPr>
          <w:rFonts w:cs="Arial" w:ascii="Arial" w:hAnsi="Arial"/>
        </w:rPr>
        <w:t xml:space="preserve">Całkowity koszt usunięcia azbestu i wyrobów zawierających azbest znajdujących się aktualnie na terenie gminy Mrocza oszacowano na ok. </w:t>
      </w:r>
      <w:r>
        <w:rPr>
          <w:rFonts w:cs="Arial" w:ascii="Arial" w:hAnsi="Arial"/>
          <w:b/>
        </w:rPr>
        <w:t xml:space="preserve">9 418 321 </w:t>
      </w:r>
      <w:r>
        <w:rPr>
          <w:rFonts w:cs="Arial" w:ascii="Arial" w:hAnsi="Arial"/>
          <w:b/>
          <w:color w:val="000000"/>
        </w:rPr>
        <w:t xml:space="preserve">zł </w:t>
      </w:r>
      <w:r>
        <w:rPr>
          <w:rFonts w:cs="Arial" w:ascii="Arial" w:hAnsi="Arial"/>
          <w:b/>
        </w:rPr>
        <w:t xml:space="preserve">brutto. </w:t>
      </w:r>
    </w:p>
    <w:p>
      <w:pPr>
        <w:pStyle w:val="Normal"/>
        <w:spacing w:lineRule="auto" w:line="360" w:before="0" w:after="0"/>
        <w:ind w:firstLine="708"/>
        <w:jc w:val="both"/>
        <w:rPr>
          <w:rFonts w:ascii="Arial" w:hAnsi="Arial" w:cs="Arial"/>
          <w:color w:val="000000"/>
        </w:rPr>
      </w:pPr>
      <w:r>
        <w:rPr>
          <w:rFonts w:cs="Arial" w:ascii="Arial" w:hAnsi="Arial"/>
          <w:color w:val="000000"/>
        </w:rPr>
        <w:t>Powyższe kwoty są jedynie wstępnym szacunkiem. Kwoty te nie uwzględniają dodatkowych kosztów, jakie musi ponieść właściciel posesji w związku z usuwaniem azbestu (nowe pokrycie dachowe, nowa elewacja – zakup materiałów, robocizna).</w:t>
      </w:r>
    </w:p>
    <w:p>
      <w:pPr>
        <w:pStyle w:val="Normal"/>
        <w:spacing w:lineRule="auto" w:line="360" w:before="0" w:after="0"/>
        <w:ind w:firstLine="708"/>
        <w:jc w:val="both"/>
        <w:rPr>
          <w:rFonts w:ascii="Arial" w:hAnsi="Arial" w:cs="Arial"/>
          <w:color w:val="000000"/>
        </w:rPr>
      </w:pPr>
      <w:r>
        <w:rPr>
          <w:rFonts w:cs="Arial" w:ascii="Arial" w:hAnsi="Arial"/>
          <w:color w:val="000000"/>
        </w:rPr>
        <w:t xml:space="preserve">Te stosunkowo wysokie ceny wynikają z warunków, jakie musi spełniać przedsiębiorca usuwający azbest oraz nakładów z tym związanych. Składają się na nie koszty związane m.in. </w:t>
        <w:br/>
        <w:t xml:space="preserve">z specjalistycznym szkoleniem pracowników, przygotowaniem i zabezpieczeniem miejsca pracy, środkami ochrony osobistej dla pracowników oraz koszty zakupu specjalistycznych narzędzi </w:t>
        <w:br/>
        <w:t>i materiałów stosowanych w pracach remontowych. Ponadto nadzór nad pracami musi być prowadzony przez specjalistów, a ewentualne badania potwierdzające prawidłowość wykonania prac wykonane przez laboratoria akredytowane. Także odpady do transportu muszą być bardzo dobrze zabezpieczone i oznakowane w specjalny sposób. Wszystko to generuje znacznie wyższe koszty niż w przypadku typowych prac budowlanych. Istotnym składnikiem ceny są koszty składowania. Jedyną dopuszczalną formą ostatecznego unieszkodliwiania odpadów zawierających azbest jest składowanie na składowiskach odpadów niebezpiecznych lub na wydzielonych częściach składowisk odpadów innych niż niebezpieczne i obojętne.</w:t>
      </w:r>
    </w:p>
    <w:p>
      <w:pPr>
        <w:pStyle w:val="Normal"/>
        <w:spacing w:lineRule="auto" w:line="360" w:before="0" w:after="0"/>
        <w:ind w:firstLine="708"/>
        <w:jc w:val="both"/>
        <w:rPr>
          <w:rFonts w:ascii="Arial" w:hAnsi="Arial" w:cs="Arial"/>
          <w:b/>
          <w:b/>
          <w:color w:val="000000"/>
        </w:rPr>
      </w:pPr>
      <w:r>
        <w:rPr>
          <w:rFonts w:cs="Arial" w:ascii="Arial" w:hAnsi="Arial"/>
          <w:color w:val="000000"/>
        </w:rPr>
        <w:t xml:space="preserve">Ze względu na określone przepisami warunki składowania odpadów azbestowych koszty są stosunkowo wysokiej w zależności od ilości składowanych odpadów wynoszą najczęściej </w:t>
      </w:r>
      <w:r>
        <w:rPr>
          <w:rFonts w:cs="Arial" w:ascii="Arial" w:hAnsi="Arial"/>
          <w:b/>
          <w:color w:val="000000"/>
        </w:rPr>
        <w:t>od ok. 600-800 zł brutto za tonę</w:t>
      </w:r>
      <w:r>
        <w:rPr>
          <w:rFonts w:cs="Arial" w:ascii="Arial" w:hAnsi="Arial"/>
          <w:color w:val="000000"/>
        </w:rPr>
        <w:t>.</w:t>
      </w:r>
    </w:p>
    <w:p>
      <w:pPr>
        <w:pStyle w:val="Normal"/>
        <w:spacing w:lineRule="auto" w:line="360" w:before="0" w:after="0"/>
        <w:ind w:firstLine="708"/>
        <w:jc w:val="both"/>
        <w:rPr>
          <w:rFonts w:ascii="Arial" w:hAnsi="Arial" w:cs="Arial"/>
          <w:color w:val="000000"/>
        </w:rPr>
      </w:pPr>
      <w:r>
        <w:rPr>
          <w:rFonts w:cs="Arial" w:ascii="Arial" w:hAnsi="Arial"/>
          <w:color w:val="000000"/>
        </w:rPr>
        <w:t xml:space="preserve">Cena ta musi uwzględniać relatywnie wysokie opłaty za umieszczenie odpadów na składowisku, wnoszone na konto urzędów marszałkowskich, jako opłaty za korzystanie ze środowiska. Należy wyraźnie stwierdzić, że prawidłowe spełnienie warunków określonych przepisami jest kosztowne. W tej sytuacji, podejmując decyzję o usunięciu wyrobów zawierających azbest należy znaleźć odpowiednią firmę oraz źródła finansowania inwestycji. </w:t>
      </w:r>
    </w:p>
    <w:p>
      <w:pPr>
        <w:pStyle w:val="Normal"/>
        <w:spacing w:lineRule="auto" w:line="360"/>
        <w:ind w:firstLine="708"/>
        <w:jc w:val="both"/>
        <w:rPr>
          <w:rFonts w:ascii="Arial" w:hAnsi="Arial" w:cs="Arial"/>
        </w:rPr>
      </w:pPr>
      <w:r>
        <w:rPr>
          <w:rFonts w:cs="Arial" w:ascii="Arial" w:hAnsi="Arial"/>
        </w:rPr>
        <w:t xml:space="preserve">Wobec czego, przy założeniu realizacji „Programu…” do roku 2032 (ok. 14 lat), roczny koszt usuwania wyrobów zawierających azbest będzie kształtował się na poziomie około </w:t>
      </w:r>
      <w:r>
        <w:rPr>
          <w:rFonts w:cs="Arial" w:ascii="Arial" w:hAnsi="Arial"/>
          <w:b/>
          <w:bCs/>
        </w:rPr>
        <w:t>672 737 zł</w:t>
      </w:r>
      <w:r>
        <w:rPr>
          <w:rFonts w:cs="Arial" w:ascii="Arial" w:hAnsi="Arial"/>
          <w:b/>
        </w:rPr>
        <w:t xml:space="preserve"> brutto.</w:t>
      </w:r>
    </w:p>
    <w:p>
      <w:pPr>
        <w:pStyle w:val="Normal"/>
        <w:spacing w:lineRule="auto" w:line="360" w:before="0" w:after="0"/>
        <w:ind w:firstLine="709"/>
        <w:jc w:val="both"/>
        <w:rPr>
          <w:rFonts w:ascii="Arial" w:hAnsi="Arial" w:cs="Arial"/>
        </w:rPr>
      </w:pPr>
      <w:r>
        <w:rPr>
          <w:rFonts w:cs="Arial" w:ascii="Arial" w:hAnsi="Arial"/>
        </w:rPr>
        <w:t xml:space="preserve">Na podstawie danych rynkowych można obliczyć średni koszt usługi montażu nowego </w:t>
      </w:r>
      <w:r>
        <w:rPr>
          <w:rFonts w:cs="Arial" w:ascii="Arial" w:hAnsi="Arial"/>
          <w:color w:val="000000"/>
        </w:rPr>
        <w:t>pokrycia</w:t>
      </w:r>
      <w:r>
        <w:rPr>
          <w:rFonts w:cs="Arial" w:ascii="Arial" w:hAnsi="Arial"/>
        </w:rPr>
        <w:t xml:space="preserve"> dachowego.  Niezależnie od rodzaju usługi, ani materiałów, z których wykonany będzie dach średni koszt wyniesie ok. 68 zł/m</w:t>
      </w:r>
      <w:r>
        <w:rPr>
          <w:rFonts w:cs="Arial" w:ascii="Arial" w:hAnsi="Arial"/>
          <w:vertAlign w:val="superscript"/>
        </w:rPr>
        <w:t>2</w:t>
      </w:r>
      <w:r>
        <w:rPr>
          <w:rFonts w:cs="Arial" w:ascii="Arial" w:hAnsi="Arial"/>
        </w:rPr>
        <w:t xml:space="preserve"> netto.</w:t>
      </w:r>
    </w:p>
    <w:p>
      <w:pPr>
        <w:pStyle w:val="Normal"/>
        <w:spacing w:lineRule="auto" w:line="360" w:before="0" w:after="0"/>
        <w:ind w:firstLine="709"/>
        <w:jc w:val="both"/>
        <w:rPr>
          <w:rFonts w:ascii="Arial" w:hAnsi="Arial" w:cs="Arial"/>
        </w:rPr>
      </w:pPr>
      <w:r>
        <w:rPr>
          <w:rFonts w:cs="Arial" w:ascii="Arial" w:hAnsi="Arial"/>
        </w:rPr>
        <w:t xml:space="preserve">O ile cena usług dekarskich jest w wielu przedsiębiorstwach bardzo zbliżona, tak w przypadku materiałów budowlanych ich cena jest bardzo różna, a wybór zależy wyłącznie od możliwości finansowych właścicieli budynków.  Przykładowe ceny sprawdzone u kilku producentów materiałów budowlanych wynoszą: </w:t>
      </w:r>
    </w:p>
    <w:p>
      <w:pPr>
        <w:pStyle w:val="ListParagraph"/>
        <w:numPr>
          <w:ilvl w:val="0"/>
          <w:numId w:val="57"/>
        </w:numPr>
        <w:spacing w:lineRule="auto" w:line="360"/>
        <w:ind w:left="1134" w:hanging="425"/>
        <w:jc w:val="both"/>
        <w:rPr>
          <w:rFonts w:ascii="Arial" w:hAnsi="Arial" w:cs="Arial"/>
        </w:rPr>
      </w:pPr>
      <w:r>
        <w:rPr>
          <w:rFonts w:cs="Arial" w:ascii="Arial" w:hAnsi="Arial"/>
        </w:rPr>
        <w:t>dachówki ceramiczne – 28 – 75 zł/ m</w:t>
      </w:r>
      <w:r>
        <w:rPr>
          <w:rFonts w:cs="Arial" w:ascii="Arial" w:hAnsi="Arial"/>
          <w:vertAlign w:val="superscript"/>
        </w:rPr>
        <w:t>2</w:t>
      </w:r>
      <w:r>
        <w:rPr>
          <w:rFonts w:cs="Arial" w:ascii="Arial" w:hAnsi="Arial"/>
        </w:rPr>
        <w:t xml:space="preserve"> netto;</w:t>
      </w:r>
    </w:p>
    <w:p>
      <w:pPr>
        <w:pStyle w:val="ListParagraph"/>
        <w:numPr>
          <w:ilvl w:val="0"/>
          <w:numId w:val="57"/>
        </w:numPr>
        <w:spacing w:lineRule="auto" w:line="360"/>
        <w:ind w:left="1134" w:hanging="425"/>
        <w:jc w:val="both"/>
        <w:rPr>
          <w:rFonts w:ascii="Arial" w:hAnsi="Arial" w:cs="Arial"/>
        </w:rPr>
      </w:pPr>
      <w:r>
        <w:rPr>
          <w:rFonts w:cs="Arial" w:ascii="Arial" w:hAnsi="Arial"/>
        </w:rPr>
        <w:t>blachodachówka – 23 – 58 – zł/ m</w:t>
      </w:r>
      <w:r>
        <w:rPr>
          <w:rFonts w:cs="Arial" w:ascii="Arial" w:hAnsi="Arial"/>
          <w:vertAlign w:val="superscript"/>
        </w:rPr>
        <w:t>2</w:t>
      </w:r>
      <w:r>
        <w:rPr>
          <w:rFonts w:cs="Arial" w:ascii="Arial" w:hAnsi="Arial"/>
        </w:rPr>
        <w:t xml:space="preserve">netto; </w:t>
      </w:r>
    </w:p>
    <w:p>
      <w:pPr>
        <w:pStyle w:val="ListParagraph"/>
        <w:numPr>
          <w:ilvl w:val="0"/>
          <w:numId w:val="57"/>
        </w:numPr>
        <w:spacing w:lineRule="auto" w:line="360"/>
        <w:ind w:left="1134" w:hanging="425"/>
        <w:jc w:val="both"/>
        <w:rPr>
          <w:rFonts w:ascii="Arial" w:hAnsi="Arial" w:cs="Arial"/>
        </w:rPr>
      </w:pPr>
      <w:r>
        <w:rPr>
          <w:rFonts w:cs="Arial" w:ascii="Arial" w:hAnsi="Arial"/>
        </w:rPr>
        <w:t>blachy trapezowe – 18 – 48 zł/ m</w:t>
      </w:r>
      <w:r>
        <w:rPr>
          <w:rFonts w:cs="Arial" w:ascii="Arial" w:hAnsi="Arial"/>
          <w:vertAlign w:val="superscript"/>
        </w:rPr>
        <w:t>2</w:t>
      </w:r>
      <w:r>
        <w:rPr>
          <w:rFonts w:cs="Arial" w:ascii="Arial" w:hAnsi="Arial"/>
        </w:rPr>
        <w:t xml:space="preserve"> netto;</w:t>
      </w:r>
    </w:p>
    <w:p>
      <w:pPr>
        <w:pStyle w:val="Normal"/>
        <w:spacing w:lineRule="auto" w:line="360"/>
        <w:ind w:firstLine="644"/>
        <w:jc w:val="both"/>
        <w:rPr>
          <w:rFonts w:ascii="Arial" w:hAnsi="Arial" w:cs="Arial"/>
        </w:rPr>
      </w:pPr>
      <w:r>
        <w:rPr>
          <w:rFonts w:cs="Arial" w:ascii="Arial" w:hAnsi="Arial"/>
        </w:rPr>
        <w:t>Szacunkowo na pokrycie jednego m</w:t>
      </w:r>
      <w:r>
        <w:rPr>
          <w:rFonts w:cs="Arial" w:ascii="Arial" w:hAnsi="Arial"/>
          <w:vertAlign w:val="superscript"/>
        </w:rPr>
        <w:t>2</w:t>
      </w:r>
      <w:r>
        <w:rPr>
          <w:rFonts w:cs="Arial" w:ascii="Arial" w:hAnsi="Arial"/>
        </w:rPr>
        <w:t xml:space="preserve"> dachu trzeba wydać około 68 zł netto. Przy średniej wielkości dachu jednorodzinnego wynoszącej ok. 150 m</w:t>
      </w:r>
      <w:r>
        <w:rPr>
          <w:rFonts w:cs="Arial" w:ascii="Arial" w:hAnsi="Arial"/>
          <w:vertAlign w:val="superscript"/>
        </w:rPr>
        <w:t>2</w:t>
      </w:r>
      <w:r>
        <w:rPr>
          <w:rFonts w:cs="Arial" w:ascii="Arial" w:hAnsi="Arial"/>
        </w:rPr>
        <w:t xml:space="preserve"> właściciel budynku musi zapłacić za usługę i materiały 10 200,00 zł netto.</w:t>
      </w:r>
    </w:p>
    <w:p>
      <w:pPr>
        <w:pStyle w:val="Normal"/>
        <w:spacing w:lineRule="auto" w:line="360" w:before="0" w:after="0"/>
        <w:jc w:val="both"/>
        <w:rPr>
          <w:rFonts w:ascii="Arial" w:hAnsi="Arial" w:cs="Arial"/>
          <w:i/>
          <w:i/>
          <w:vertAlign w:val="superscript"/>
        </w:rPr>
      </w:pPr>
      <w:r>
        <w:rPr>
          <w:rFonts w:cs="Arial" w:ascii="Arial" w:hAnsi="Arial"/>
          <w:i/>
        </w:rPr>
        <w:t>Średni koszt montażu dachu – 28 zł/m</w:t>
      </w:r>
      <w:r>
        <w:rPr>
          <w:rFonts w:cs="Arial" w:ascii="Arial" w:hAnsi="Arial"/>
          <w:i/>
          <w:vertAlign w:val="superscript"/>
        </w:rPr>
        <w:t>2</w:t>
      </w:r>
    </w:p>
    <w:p>
      <w:pPr>
        <w:pStyle w:val="Normal"/>
        <w:spacing w:lineRule="auto" w:line="360" w:before="0" w:after="0"/>
        <w:jc w:val="both"/>
        <w:rPr>
          <w:rFonts w:ascii="Arial" w:hAnsi="Arial" w:cs="Arial"/>
          <w:i/>
          <w:i/>
        </w:rPr>
      </w:pPr>
      <w:r>
        <w:rPr>
          <w:rFonts w:cs="Arial" w:ascii="Arial" w:hAnsi="Arial"/>
          <w:i/>
        </w:rPr>
        <w:t>Średni koszt materiałów budowlanych – 40 zł/m</w:t>
      </w:r>
      <w:r>
        <w:rPr>
          <w:rFonts w:cs="Arial" w:ascii="Arial" w:hAnsi="Arial"/>
          <w:i/>
          <w:vertAlign w:val="superscript"/>
        </w:rPr>
        <w:t>2</w:t>
      </w:r>
    </w:p>
    <w:p>
      <w:pPr>
        <w:pStyle w:val="Normal"/>
        <w:spacing w:lineRule="auto" w:line="360" w:before="0" w:after="0"/>
        <w:jc w:val="both"/>
        <w:rPr>
          <w:rFonts w:ascii="Arial" w:hAnsi="Arial" w:cs="Arial"/>
          <w:i/>
          <w:i/>
        </w:rPr>
      </w:pPr>
      <w:r>
        <w:rPr>
          <w:rFonts w:cs="Arial" w:ascii="Arial" w:hAnsi="Arial"/>
          <w:i/>
        </w:rPr>
        <w:t>28 + 40 =68 zł/m</w:t>
      </w:r>
      <w:r>
        <w:rPr>
          <w:rFonts w:cs="Arial" w:ascii="Arial" w:hAnsi="Arial"/>
          <w:i/>
          <w:vertAlign w:val="superscript"/>
        </w:rPr>
        <w:t>2</w:t>
      </w:r>
    </w:p>
    <w:p>
      <w:pPr>
        <w:pStyle w:val="Normal"/>
        <w:spacing w:lineRule="auto" w:line="360" w:before="0" w:after="0"/>
        <w:jc w:val="both"/>
        <w:rPr>
          <w:rFonts w:ascii="Arial" w:hAnsi="Arial" w:cs="Arial"/>
          <w:i/>
          <w:i/>
        </w:rPr>
      </w:pPr>
      <w:r>
        <w:rPr>
          <w:rFonts w:cs="Arial" w:ascii="Arial" w:hAnsi="Arial"/>
          <w:i/>
        </w:rPr>
        <w:t>Przy wielkości dachu =150m</w:t>
      </w:r>
      <w:r>
        <w:rPr>
          <w:rFonts w:cs="Arial" w:ascii="Arial" w:hAnsi="Arial"/>
          <w:i/>
          <w:vertAlign w:val="superscript"/>
        </w:rPr>
        <w:t>2</w:t>
      </w:r>
      <w:r>
        <w:rPr>
          <w:rFonts w:cs="Arial" w:ascii="Arial" w:hAnsi="Arial"/>
          <w:i/>
        </w:rPr>
        <w:t xml:space="preserve"> całkowity koszt wynosi: 150x68=10 200,00 zł netto.</w:t>
      </w:r>
    </w:p>
    <w:p>
      <w:pPr>
        <w:pStyle w:val="Normal"/>
        <w:spacing w:lineRule="auto" w:line="360" w:before="0" w:after="0"/>
        <w:jc w:val="both"/>
        <w:rPr>
          <w:rFonts w:ascii="Arial" w:hAnsi="Arial" w:cs="Arial"/>
          <w:i/>
          <w:i/>
        </w:rPr>
      </w:pPr>
      <w:r>
        <w:rPr>
          <w:rFonts w:cs="Arial" w:ascii="Arial" w:hAnsi="Arial"/>
          <w:i/>
        </w:rPr>
      </w:r>
    </w:p>
    <w:p>
      <w:pPr>
        <w:pStyle w:val="Normal"/>
        <w:spacing w:lineRule="auto" w:line="360" w:before="0" w:after="0"/>
        <w:ind w:firstLine="709"/>
        <w:jc w:val="both"/>
        <w:rPr>
          <w:rFonts w:ascii="Arial" w:hAnsi="Arial" w:cs="Arial"/>
        </w:rPr>
      </w:pPr>
      <w:r>
        <w:rPr>
          <w:rFonts w:cs="Arial" w:ascii="Arial" w:hAnsi="Arial"/>
        </w:rPr>
        <w:t>Niewielu właścicieli budynków pokrytych wyrobami azbestowymi decyduje się na wymianę dachu.  Na pełną usługę związaną z usunięciem, czyli demontaż, pakowanie, transport i oddanie do utylizacji właściciel średniej wielkości dachu wynoszącego 150 m</w:t>
      </w:r>
      <w:r>
        <w:rPr>
          <w:rFonts w:cs="Arial" w:ascii="Arial" w:hAnsi="Arial"/>
          <w:vertAlign w:val="superscript"/>
        </w:rPr>
        <w:t xml:space="preserve">2 </w:t>
      </w:r>
      <w:r>
        <w:rPr>
          <w:rFonts w:cs="Arial" w:ascii="Arial" w:hAnsi="Arial"/>
        </w:rPr>
        <w:t>zapłaci od 3 000 do 5 250 zł, przyjmując, że cena takiej usługi waha się pomiędzy 20 – 35 zł/ m</w:t>
      </w:r>
      <w:r>
        <w:rPr>
          <w:rFonts w:cs="Arial" w:ascii="Arial" w:hAnsi="Arial"/>
          <w:vertAlign w:val="superscript"/>
        </w:rPr>
        <w:t>2</w:t>
      </w:r>
      <w:r>
        <w:rPr>
          <w:rFonts w:cs="Arial" w:ascii="Arial" w:hAnsi="Arial"/>
        </w:rPr>
        <w:t xml:space="preserve"> brutto.</w:t>
      </w:r>
    </w:p>
    <w:p>
      <w:pPr>
        <w:pStyle w:val="Normal"/>
        <w:spacing w:lineRule="auto" w:line="360" w:before="0" w:after="0"/>
        <w:ind w:firstLine="709"/>
        <w:jc w:val="both"/>
        <w:rPr>
          <w:rFonts w:ascii="Arial" w:hAnsi="Arial" w:cs="Arial"/>
        </w:rPr>
      </w:pPr>
      <w:r>
        <w:rPr>
          <w:rFonts w:cs="Arial" w:ascii="Arial" w:hAnsi="Arial"/>
        </w:rPr>
        <w:t xml:space="preserve">Do tej ceny doliczamy koszty montażu nowego pokrycia dachowego, obliczone powyżej i za remont otrzymujemy kwotę do zapłacenia wynoszącą w granicach 13 -16 tys. zł.  </w:t>
      </w:r>
    </w:p>
    <w:p>
      <w:pPr>
        <w:pStyle w:val="Normal"/>
        <w:spacing w:lineRule="auto" w:line="360" w:before="0" w:after="0"/>
        <w:ind w:firstLine="709"/>
        <w:jc w:val="both"/>
        <w:rPr>
          <w:rFonts w:ascii="Arial" w:hAnsi="Arial" w:cs="Arial"/>
        </w:rPr>
      </w:pPr>
      <w:r>
        <w:rPr>
          <w:rFonts w:cs="Arial" w:ascii="Arial" w:hAnsi="Arial"/>
        </w:rPr>
        <w:t xml:space="preserve">Dofinansowania unijne, bądź krajowe pokrywają tylko koszty demontażu, transportu i oddania do składowania płyt azbestowych na składowisku odpadów niebezpiecznych, pozostałe koszty nowego pokrycia dachowego/elewacji budynku pokrywa właściciel budynku. </w:t>
      </w:r>
    </w:p>
    <w:p>
      <w:pPr>
        <w:pStyle w:val="Normal"/>
        <w:spacing w:lineRule="auto" w:line="360"/>
        <w:ind w:firstLine="708"/>
        <w:jc w:val="both"/>
        <w:rPr>
          <w:rFonts w:ascii="Arial" w:hAnsi="Arial" w:cs="Arial"/>
        </w:rPr>
      </w:pPr>
      <w:r>
        <w:rPr>
          <w:rFonts w:cs="Arial" w:ascii="Arial" w:hAnsi="Arial"/>
        </w:rPr>
        <w:t>Finansowanie likwidacji azbestu z terenu gminy Mrocza może być oparte na środkach pozyskanych z:</w:t>
      </w:r>
    </w:p>
    <w:p>
      <w:pPr>
        <w:pStyle w:val="Normal"/>
        <w:numPr>
          <w:ilvl w:val="0"/>
          <w:numId w:val="36"/>
        </w:numPr>
        <w:spacing w:lineRule="auto" w:line="360" w:before="0" w:after="0"/>
        <w:jc w:val="both"/>
        <w:rPr>
          <w:rFonts w:ascii="Arial" w:hAnsi="Arial" w:cs="Arial"/>
        </w:rPr>
      </w:pPr>
      <w:r>
        <w:rPr>
          <w:rFonts w:cs="Arial" w:ascii="Arial" w:hAnsi="Arial"/>
        </w:rPr>
        <w:t>budżetu Gminy,</w:t>
      </w:r>
    </w:p>
    <w:p>
      <w:pPr>
        <w:pStyle w:val="Normal"/>
        <w:numPr>
          <w:ilvl w:val="0"/>
          <w:numId w:val="36"/>
        </w:numPr>
        <w:spacing w:lineRule="auto" w:line="360" w:before="0" w:after="0"/>
        <w:jc w:val="both"/>
        <w:rPr>
          <w:rFonts w:ascii="Arial" w:hAnsi="Arial" w:cs="Arial"/>
        </w:rPr>
      </w:pPr>
      <w:r>
        <w:rPr>
          <w:rFonts w:cs="Arial" w:ascii="Arial" w:hAnsi="Arial"/>
        </w:rPr>
        <w:t>Wojewódzkiego Funduszu Ochrony Środowiska i Gospodarki Wodnej,</w:t>
      </w:r>
    </w:p>
    <w:p>
      <w:pPr>
        <w:pStyle w:val="Normal"/>
        <w:numPr>
          <w:ilvl w:val="0"/>
          <w:numId w:val="36"/>
        </w:numPr>
        <w:spacing w:lineRule="auto" w:line="360" w:before="0" w:after="0"/>
        <w:jc w:val="both"/>
        <w:rPr>
          <w:rFonts w:ascii="Arial" w:hAnsi="Arial" w:cs="Arial"/>
        </w:rPr>
      </w:pPr>
      <w:r>
        <w:rPr>
          <w:rFonts w:cs="Arial" w:ascii="Arial" w:hAnsi="Arial"/>
        </w:rPr>
        <w:t>Narodowego Funduszu Ochrony Środowiska i Gospodarki Wodnej,</w:t>
      </w:r>
    </w:p>
    <w:p>
      <w:pPr>
        <w:pStyle w:val="Normal"/>
        <w:numPr>
          <w:ilvl w:val="0"/>
          <w:numId w:val="36"/>
        </w:numPr>
        <w:spacing w:lineRule="auto" w:line="360" w:before="0" w:after="0"/>
        <w:jc w:val="both"/>
        <w:rPr>
          <w:rFonts w:ascii="Arial" w:hAnsi="Arial" w:cs="Arial"/>
        </w:rPr>
      </w:pPr>
      <w:r>
        <w:rPr>
          <w:rFonts w:cs="Arial" w:ascii="Arial" w:hAnsi="Arial"/>
        </w:rPr>
        <w:t>środków Regionalnego Programu Operacyjnego,</w:t>
      </w:r>
    </w:p>
    <w:p>
      <w:pPr>
        <w:pStyle w:val="Normal"/>
        <w:numPr>
          <w:ilvl w:val="0"/>
          <w:numId w:val="36"/>
        </w:numPr>
        <w:spacing w:lineRule="auto" w:line="360" w:before="0" w:after="0"/>
        <w:jc w:val="both"/>
        <w:rPr>
          <w:rFonts w:ascii="Arial" w:hAnsi="Arial" w:cs="Arial"/>
        </w:rPr>
      </w:pPr>
      <w:r>
        <w:rPr>
          <w:rFonts w:cs="Arial" w:ascii="Arial" w:hAnsi="Arial"/>
        </w:rPr>
        <w:t>innych programów Unii Europejskiej,</w:t>
      </w:r>
    </w:p>
    <w:p>
      <w:pPr>
        <w:pStyle w:val="Normal"/>
        <w:numPr>
          <w:ilvl w:val="0"/>
          <w:numId w:val="36"/>
        </w:numPr>
        <w:spacing w:lineRule="auto" w:line="360" w:before="0" w:after="0"/>
        <w:jc w:val="both"/>
        <w:rPr>
          <w:rFonts w:ascii="Arial" w:hAnsi="Arial" w:cs="Arial"/>
        </w:rPr>
      </w:pPr>
      <w:r>
        <w:rPr>
          <w:rFonts w:cs="Arial" w:ascii="Arial" w:hAnsi="Arial"/>
        </w:rPr>
        <w:t>środków pochodzących od osób fizycznych i prawnych.</w:t>
      </w:r>
    </w:p>
    <w:p>
      <w:pPr>
        <w:pStyle w:val="Normal"/>
        <w:spacing w:lineRule="auto" w:line="360"/>
        <w:ind w:firstLine="708"/>
        <w:jc w:val="both"/>
        <w:rPr>
          <w:rFonts w:ascii="Arial" w:hAnsi="Arial" w:cs="Arial"/>
          <w:i/>
          <w:i/>
        </w:rPr>
      </w:pPr>
      <w:r>
        <w:rPr>
          <w:rFonts w:cs="Arial" w:ascii="Arial" w:hAnsi="Arial"/>
          <w:i/>
        </w:rPr>
      </w:r>
    </w:p>
    <w:p>
      <w:pPr>
        <w:pStyle w:val="Nagwek2"/>
        <w:jc w:val="both"/>
        <w:rPr>
          <w:rFonts w:cs="Arial"/>
        </w:rPr>
      </w:pPr>
      <w:bookmarkStart w:id="128" w:name="_Toc20296882"/>
      <w:bookmarkStart w:id="129" w:name="_Toc278442763"/>
      <w:bookmarkStart w:id="130" w:name="_Toc327780820"/>
      <w:bookmarkStart w:id="131" w:name="_Toc330505325"/>
      <w:bookmarkStart w:id="132" w:name="_Toc331346085"/>
      <w:bookmarkStart w:id="133" w:name="_Toc334432860"/>
      <w:r>
        <w:rPr>
          <w:rFonts w:cs="Arial"/>
        </w:rPr>
        <w:t xml:space="preserve">5.8. Możliwości pozyskania środków finansowych na działania związane </w:t>
        <w:br/>
        <w:t xml:space="preserve">z </w:t>
      </w:r>
      <w:bookmarkEnd w:id="129"/>
      <w:bookmarkEnd w:id="130"/>
      <w:bookmarkEnd w:id="131"/>
      <w:bookmarkEnd w:id="132"/>
      <w:bookmarkEnd w:id="133"/>
      <w:r>
        <w:rPr>
          <w:rFonts w:cs="Arial"/>
        </w:rPr>
        <w:t>unieszkodliwianiem wyrobów zawierających azbest z terenu gminy Mrocza</w:t>
      </w:r>
      <w:bookmarkEnd w:id="128"/>
    </w:p>
    <w:p>
      <w:pPr>
        <w:pStyle w:val="Nagwek2"/>
        <w:rPr>
          <w:rFonts w:cs="Arial"/>
          <w:sz w:val="22"/>
          <w:szCs w:val="22"/>
        </w:rPr>
      </w:pPr>
      <w:r>
        <w:rPr>
          <w:rFonts w:cs="Arial"/>
          <w:sz w:val="22"/>
          <w:szCs w:val="22"/>
        </w:rPr>
      </w:r>
    </w:p>
    <w:p>
      <w:pPr>
        <w:pStyle w:val="Default"/>
        <w:spacing w:lineRule="auto" w:line="360"/>
        <w:ind w:firstLine="708"/>
        <w:jc w:val="both"/>
        <w:rPr>
          <w:rFonts w:ascii="Arial" w:hAnsi="Arial" w:cs="Arial"/>
          <w:sz w:val="22"/>
          <w:szCs w:val="22"/>
        </w:rPr>
      </w:pPr>
      <w:r>
        <w:rPr>
          <w:rFonts w:cs="Arial" w:ascii="Arial" w:hAnsi="Arial"/>
          <w:sz w:val="22"/>
          <w:szCs w:val="22"/>
        </w:rPr>
        <w:t xml:space="preserve">Zgodnie z założeniami Programu Oczyszczania Kraju z Azbestu na lata 2009 - 2032 koszty związane z usunięciem wyrobów zawierających azbest mają być finansowane przez właścicieli – zarządców obiektów, w tym prywatnych właścicieli obiektów posiadających wyroby zawierające azbest. </w:t>
      </w:r>
    </w:p>
    <w:p>
      <w:pPr>
        <w:pStyle w:val="Default"/>
        <w:spacing w:lineRule="auto" w:line="360"/>
        <w:ind w:firstLine="708"/>
        <w:jc w:val="both"/>
        <w:rPr>
          <w:rFonts w:ascii="Arial" w:hAnsi="Arial" w:cs="Arial"/>
          <w:sz w:val="22"/>
          <w:szCs w:val="22"/>
        </w:rPr>
      </w:pPr>
      <w:r>
        <w:rPr>
          <w:rFonts w:cs="Arial" w:ascii="Arial" w:hAnsi="Arial"/>
          <w:sz w:val="22"/>
          <w:szCs w:val="22"/>
        </w:rPr>
        <w:t xml:space="preserve">Inicjatywy samorządu terytorialnego, zmierzające do sukcesywnego usuwania wyrobów azbestowych i likwidacji skutków ich szkodliwości dla mieszkańców i środowiska dają możliwości dofinansowania powyższych działań z funduszy jednostek samorządowych, środków celowych funduszy ekologicznych, a także ze środków funduszy Unii Europejskiej. </w:t>
      </w:r>
    </w:p>
    <w:p>
      <w:pPr>
        <w:pStyle w:val="Default"/>
        <w:spacing w:lineRule="auto" w:line="360"/>
        <w:ind w:firstLine="708"/>
        <w:jc w:val="both"/>
        <w:rPr>
          <w:rFonts w:ascii="Arial" w:hAnsi="Arial" w:cs="Arial"/>
          <w:sz w:val="22"/>
          <w:szCs w:val="22"/>
        </w:rPr>
      </w:pPr>
      <w:r>
        <w:rPr>
          <w:rFonts w:cs="Arial" w:ascii="Arial" w:hAnsi="Arial"/>
          <w:sz w:val="22"/>
          <w:szCs w:val="22"/>
        </w:rPr>
        <w:t>Stąd też rola samorządu w pozyskiwaniu funduszy na wsparcie realizacji „Programu…” usuwania wyrobów azbestowych z terenu gminy ma istotne znaczenie, w szczególności dla prywatnych właścicieli obiektów, dla których usunięcie wyrobów zawierających azbest</w:t>
        <w:br/>
        <w:t>i w następstwie odnowa pokryć dachowych/elewacyjnych obiektów w większości przekracza ich możliwości finansowe.</w:t>
      </w:r>
    </w:p>
    <w:p>
      <w:pPr>
        <w:pStyle w:val="Normal"/>
        <w:spacing w:lineRule="auto" w:line="360"/>
        <w:jc w:val="both"/>
        <w:rPr>
          <w:rFonts w:ascii="Arial" w:hAnsi="Arial" w:cs="Arial"/>
        </w:rPr>
      </w:pPr>
      <w:r>
        <w:rPr>
          <w:rFonts w:cs="Arial" w:ascii="Arial" w:hAnsi="Arial"/>
        </w:rPr>
        <w:tab/>
        <w:t>Niniejszy „Program…” stanowi podstawowy instrument wspierający pozyskiwanie środków zewnętrznych na działania zmierzające do oczyszczania terenu z wyrobów zawierających azbest. Specjalne procedury konieczne do wdrożenia przy pracach z azbestem i sposób jego unieszkodliwiania wymagają znacznych środków finansowych. Stąd konieczne jest udzielanie jak najszerszego wsparcia finansowego dla wszystkich inicjatyw związanych z usuwaniem wyrobów i odpadów zawierających azbest, a także z monitoringiem zanieczyszczenia środowiska azbestem.</w:t>
      </w:r>
    </w:p>
    <w:p>
      <w:pPr>
        <w:pStyle w:val="Normal"/>
        <w:spacing w:lineRule="auto" w:line="360" w:before="0" w:after="0"/>
        <w:jc w:val="both"/>
        <w:rPr>
          <w:rStyle w:val="FontStyle116"/>
          <w:rFonts w:ascii="Arial" w:hAnsi="Arial" w:cs="Arial"/>
          <w:b/>
          <w:b/>
        </w:rPr>
      </w:pPr>
      <w:r>
        <w:rPr>
          <w:rStyle w:val="FontStyle116"/>
          <w:rFonts w:cs="Arial" w:ascii="Arial" w:hAnsi="Arial"/>
          <w:b/>
        </w:rPr>
        <w:t>Środki z budżetu Gminy</w:t>
      </w:r>
    </w:p>
    <w:p>
      <w:pPr>
        <w:pStyle w:val="Normal"/>
        <w:spacing w:lineRule="auto" w:line="360" w:before="0" w:after="0"/>
        <w:jc w:val="both"/>
        <w:rPr>
          <w:rStyle w:val="FontStyle116"/>
          <w:rFonts w:ascii="Arial" w:hAnsi="Arial" w:cs="Arial"/>
        </w:rPr>
      </w:pPr>
      <w:r>
        <w:rPr>
          <w:rFonts w:cs="Arial" w:ascii="Arial" w:hAnsi="Arial"/>
        </w:rPr>
      </w:r>
    </w:p>
    <w:p>
      <w:pPr>
        <w:pStyle w:val="Normal"/>
        <w:spacing w:lineRule="auto" w:line="360"/>
        <w:jc w:val="both"/>
        <w:rPr>
          <w:rFonts w:ascii="Arial" w:hAnsi="Arial" w:cs="Arial"/>
          <w:b/>
          <w:b/>
        </w:rPr>
      </w:pPr>
      <w:r>
        <w:rPr>
          <w:rStyle w:val="FontStyle116"/>
          <w:rFonts w:cs="Arial" w:ascii="Arial" w:hAnsi="Arial"/>
        </w:rPr>
        <w:t>Finansowanie ochrony środowiska i gospodarki wodnej, może polegać na udzielaniu dotacji celowej w rozumieniu przepisów Ustawy z dnia 27 sierpnia 2009 r. o finansach publicznych (t.j. Dz.U. 2017 poz. 2077 z późn. zm.) Dotacja celowa z budżetu na finansowanie lub dofinansowanie zadań zleconych do realizacji pozostałym jednostkom niezaliczanym do sektora finansów publicznych.</w:t>
      </w:r>
    </w:p>
    <w:p>
      <w:pPr>
        <w:pStyle w:val="Normal"/>
        <w:spacing w:lineRule="auto" w:line="360"/>
        <w:jc w:val="both"/>
        <w:rPr>
          <w:rFonts w:ascii="Arial" w:hAnsi="Arial" w:cs="Arial"/>
          <w:b/>
          <w:b/>
        </w:rPr>
      </w:pPr>
      <w:r>
        <w:rPr>
          <w:rFonts w:cs="Arial" w:ascii="Arial" w:hAnsi="Arial"/>
          <w:b/>
        </w:rPr>
        <w:t xml:space="preserve">Środki z budżetu państwa </w:t>
      </w:r>
    </w:p>
    <w:p>
      <w:pPr>
        <w:pStyle w:val="Style18"/>
        <w:widowControl/>
        <w:spacing w:lineRule="auto" w:line="360" w:before="120" w:after="200"/>
        <w:ind w:firstLine="557"/>
        <w:rPr>
          <w:rFonts w:ascii="Arial" w:hAnsi="Arial" w:cs="Arial"/>
          <w:sz w:val="22"/>
          <w:szCs w:val="22"/>
        </w:rPr>
      </w:pPr>
      <w:r>
        <w:rPr>
          <w:rStyle w:val="FontStyle116"/>
          <w:rFonts w:cs="Arial" w:ascii="Arial" w:hAnsi="Arial"/>
        </w:rPr>
        <w:t xml:space="preserve">W ramach środków budżetu państwa pozostających w dyspozycji Ministra Przedsiębiorczości i Technologii planowane jest finansowanie zadań wspierających realizację </w:t>
      </w:r>
      <w:r>
        <w:rPr>
          <w:rStyle w:val="FontStyle115"/>
          <w:rFonts w:cs="Arial" w:ascii="Arial" w:hAnsi="Arial"/>
        </w:rPr>
        <w:t xml:space="preserve">Programu </w:t>
      </w:r>
      <w:r>
        <w:rPr>
          <w:rStyle w:val="FontStyle116"/>
          <w:rFonts w:cs="Arial" w:ascii="Arial" w:hAnsi="Arial"/>
        </w:rPr>
        <w:t>w latach 2009-2032.</w:t>
      </w:r>
      <w:bookmarkStart w:id="134" w:name="_Toc334432880"/>
    </w:p>
    <w:p>
      <w:pPr>
        <w:pStyle w:val="Normal"/>
        <w:rPr/>
      </w:pPr>
      <w:r>
        <w:rPr/>
      </w:r>
    </w:p>
    <w:p>
      <w:pPr>
        <w:pStyle w:val="Caption"/>
        <w:keepNext w:val="true"/>
        <w:rPr>
          <w:sz w:val="20"/>
          <w:szCs w:val="20"/>
        </w:rPr>
      </w:pPr>
      <w:bookmarkStart w:id="135" w:name="_Toc19787611"/>
      <w:bookmarkEnd w:id="134"/>
      <w:r>
        <w:rPr>
          <w:sz w:val="20"/>
          <w:szCs w:val="20"/>
        </w:rPr>
        <w:t xml:space="preserve">Tabela </w:t>
      </w:r>
      <w:r>
        <w:rPr>
          <w:sz w:val="20"/>
          <w:szCs w:val="20"/>
        </w:rPr>
        <w:fldChar w:fldCharType="begin"/>
      </w:r>
      <w:r>
        <w:rPr>
          <w:sz w:val="20"/>
          <w:szCs w:val="20"/>
        </w:rPr>
        <w:instrText> SEQ Tabela \* ARABIC </w:instrText>
      </w:r>
      <w:r>
        <w:rPr>
          <w:sz w:val="20"/>
          <w:szCs w:val="20"/>
        </w:rPr>
        <w:fldChar w:fldCharType="separate"/>
      </w:r>
      <w:r>
        <w:rPr>
          <w:sz w:val="20"/>
          <w:szCs w:val="20"/>
        </w:rPr>
        <w:t>6</w:t>
      </w:r>
      <w:r>
        <w:rPr>
          <w:sz w:val="20"/>
          <w:szCs w:val="20"/>
        </w:rPr>
        <w:fldChar w:fldCharType="end"/>
      </w:r>
      <w:r>
        <w:rPr>
          <w:sz w:val="20"/>
          <w:szCs w:val="20"/>
        </w:rPr>
        <w:t xml:space="preserve"> Wydatki z budżetu państwa pozostające w dyspozycji Ministra Gospodarki dla realizacji Programu Oczyszczania Kraju z Azbestu na lata 2009-2032</w:t>
      </w:r>
      <w:bookmarkEnd w:id="135"/>
    </w:p>
    <w:p>
      <w:pPr>
        <w:pStyle w:val="Normal"/>
        <w:rPr/>
      </w:pPr>
      <w:r>
        <w:rPr/>
      </w:r>
    </w:p>
    <w:tbl>
      <w:tblPr>
        <w:tblW w:w="901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Look w:firstRow="0" w:noVBand="0" w:lastRow="0" w:firstColumn="0" w:lastColumn="0" w:noHBand="0" w:val="0000"/>
      </w:tblPr>
      <w:tblGrid>
        <w:gridCol w:w="523"/>
        <w:gridCol w:w="3373"/>
        <w:gridCol w:w="1258"/>
        <w:gridCol w:w="816"/>
        <w:gridCol w:w="800"/>
        <w:gridCol w:w="709"/>
        <w:gridCol w:w="776"/>
        <w:gridCol w:w="756"/>
      </w:tblGrid>
      <w:tr>
        <w:trPr>
          <w:trHeight w:val="432" w:hRule="atLeast"/>
        </w:trPr>
        <w:tc>
          <w:tcPr>
            <w:tcW w:w="523" w:type="dxa"/>
            <w:vMerge w:val="restart"/>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jc w:val="center"/>
              <w:rPr>
                <w:rStyle w:val="FontStyle114"/>
                <w:rFonts w:ascii="Arial" w:hAnsi="Arial" w:cs="Arial"/>
                <w:sz w:val="20"/>
                <w:szCs w:val="20"/>
              </w:rPr>
            </w:pPr>
            <w:r>
              <w:rPr>
                <w:rStyle w:val="FontStyle114"/>
                <w:rFonts w:cs="Arial" w:ascii="Arial" w:hAnsi="Arial"/>
                <w:sz w:val="20"/>
                <w:szCs w:val="20"/>
                <w:eastAsianLayout w:vert="true"/>
              </w:rPr>
              <w:t>Blok</w:t>
            </w:r>
          </w:p>
        </w:tc>
        <w:tc>
          <w:tcPr>
            <w:tcW w:w="337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76"/>
              <w:widowControl/>
              <w:jc w:val="center"/>
              <w:rPr>
                <w:rFonts w:ascii="Arial" w:hAnsi="Arial" w:cs="Arial"/>
                <w:sz w:val="20"/>
                <w:szCs w:val="20"/>
              </w:rPr>
            </w:pPr>
            <w:r>
              <w:rPr>
                <w:rFonts w:cs="Arial" w:ascii="Arial" w:hAnsi="Arial"/>
                <w:sz w:val="20"/>
                <w:szCs w:val="20"/>
              </w:rPr>
            </w:r>
          </w:p>
        </w:tc>
        <w:tc>
          <w:tcPr>
            <w:tcW w:w="125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jc w:val="center"/>
              <w:rPr>
                <w:rStyle w:val="FontStyle114"/>
                <w:rFonts w:ascii="Arial" w:hAnsi="Arial" w:cs="Arial"/>
                <w:sz w:val="20"/>
                <w:szCs w:val="20"/>
              </w:rPr>
            </w:pPr>
            <w:r>
              <w:rPr>
                <w:rStyle w:val="FontStyle114"/>
                <w:rFonts w:cs="Arial" w:ascii="Arial" w:hAnsi="Arial"/>
                <w:sz w:val="20"/>
                <w:szCs w:val="20"/>
              </w:rPr>
              <w:t>Ogółem</w:t>
            </w:r>
          </w:p>
        </w:tc>
        <w:tc>
          <w:tcPr>
            <w:tcW w:w="3857" w:type="dxa"/>
            <w:gridSpan w:val="5"/>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ind w:left="1541" w:hanging="0"/>
              <w:jc w:val="center"/>
              <w:rPr>
                <w:rStyle w:val="FontStyle114"/>
                <w:rFonts w:ascii="Arial" w:hAnsi="Arial" w:cs="Arial"/>
                <w:sz w:val="20"/>
                <w:szCs w:val="20"/>
              </w:rPr>
            </w:pPr>
            <w:r>
              <w:rPr>
                <w:rStyle w:val="FontStyle114"/>
                <w:rFonts w:cs="Arial" w:ascii="Arial" w:hAnsi="Arial"/>
                <w:sz w:val="20"/>
                <w:szCs w:val="20"/>
              </w:rPr>
              <w:t>L a t a</w:t>
            </w:r>
          </w:p>
        </w:tc>
      </w:tr>
      <w:tr>
        <w:trPr>
          <w:trHeight w:val="411" w:hRule="atLeast"/>
        </w:trPr>
        <w:tc>
          <w:tcPr>
            <w:tcW w:w="523" w:type="dxa"/>
            <w:vMerge w:val="continue"/>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extDirection w:val="btLr"/>
            <w:vAlign w:val="center"/>
          </w:tcPr>
          <w:p>
            <w:pPr>
              <w:pStyle w:val="Normal"/>
              <w:spacing w:lineRule="auto" w:line="240" w:before="0" w:after="0"/>
              <w:jc w:val="center"/>
              <w:rPr>
                <w:rStyle w:val="FontStyle114"/>
              </w:rPr>
            </w:pPr>
            <w:r>
              <w:rPr/>
            </w:r>
          </w:p>
        </w:tc>
        <w:tc>
          <w:tcPr>
            <w:tcW w:w="337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ind w:left="802" w:hanging="0"/>
              <w:jc w:val="center"/>
              <w:rPr>
                <w:rStyle w:val="FontStyle114"/>
                <w:rFonts w:ascii="Arial" w:hAnsi="Arial" w:cs="Arial"/>
                <w:sz w:val="20"/>
                <w:szCs w:val="20"/>
              </w:rPr>
            </w:pPr>
            <w:r>
              <w:rPr>
                <w:rStyle w:val="FontStyle114"/>
                <w:rFonts w:cs="Arial" w:ascii="Arial" w:hAnsi="Arial"/>
                <w:sz w:val="20"/>
                <w:szCs w:val="20"/>
              </w:rPr>
              <w:t>Nazwa zadania</w:t>
            </w:r>
          </w:p>
        </w:tc>
        <w:tc>
          <w:tcPr>
            <w:tcW w:w="125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jc w:val="center"/>
              <w:rPr>
                <w:rStyle w:val="FontStyle114"/>
                <w:rFonts w:ascii="Arial" w:hAnsi="Arial" w:cs="Arial"/>
                <w:sz w:val="20"/>
                <w:szCs w:val="20"/>
              </w:rPr>
            </w:pPr>
            <w:r>
              <w:rPr>
                <w:rStyle w:val="FontStyle114"/>
                <w:rFonts w:cs="Arial" w:ascii="Arial" w:hAnsi="Arial"/>
                <w:sz w:val="20"/>
                <w:szCs w:val="20"/>
              </w:rPr>
              <w:t>2009-2032</w:t>
            </w:r>
          </w:p>
        </w:tc>
        <w:tc>
          <w:tcPr>
            <w:tcW w:w="81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jc w:val="center"/>
              <w:rPr>
                <w:rStyle w:val="FontStyle114"/>
                <w:rFonts w:ascii="Arial" w:hAnsi="Arial" w:cs="Arial"/>
                <w:sz w:val="20"/>
                <w:szCs w:val="20"/>
              </w:rPr>
            </w:pPr>
            <w:r>
              <w:rPr>
                <w:rStyle w:val="FontStyle114"/>
                <w:rFonts w:cs="Arial" w:ascii="Arial" w:hAnsi="Arial"/>
                <w:sz w:val="20"/>
                <w:szCs w:val="20"/>
              </w:rPr>
              <w:t>2009</w:t>
            </w:r>
          </w:p>
        </w:tc>
        <w:tc>
          <w:tcPr>
            <w:tcW w:w="80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jc w:val="center"/>
              <w:rPr>
                <w:rStyle w:val="FontStyle114"/>
                <w:rFonts w:ascii="Arial" w:hAnsi="Arial" w:cs="Arial"/>
                <w:sz w:val="20"/>
                <w:szCs w:val="20"/>
              </w:rPr>
            </w:pPr>
            <w:r>
              <w:rPr>
                <w:rStyle w:val="FontStyle114"/>
                <w:rFonts w:cs="Arial" w:ascii="Arial" w:hAnsi="Arial"/>
                <w:sz w:val="20"/>
                <w:szCs w:val="20"/>
              </w:rPr>
              <w:t>2010</w:t>
            </w:r>
          </w:p>
        </w:tc>
        <w:tc>
          <w:tcPr>
            <w:tcW w:w="7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jc w:val="center"/>
              <w:rPr>
                <w:rStyle w:val="FontStyle114"/>
                <w:rFonts w:ascii="Arial" w:hAnsi="Arial" w:cs="Arial"/>
                <w:sz w:val="20"/>
                <w:szCs w:val="20"/>
              </w:rPr>
            </w:pPr>
            <w:r>
              <w:rPr>
                <w:rStyle w:val="FontStyle114"/>
                <w:rFonts w:cs="Arial" w:ascii="Arial" w:hAnsi="Arial"/>
                <w:sz w:val="20"/>
                <w:szCs w:val="20"/>
              </w:rPr>
              <w:t>2011</w:t>
            </w:r>
          </w:p>
        </w:tc>
        <w:tc>
          <w:tcPr>
            <w:tcW w:w="776" w:type="dxa"/>
            <w:vMerge w:val="restart"/>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jc w:val="center"/>
              <w:rPr>
                <w:rStyle w:val="FontStyle114"/>
                <w:rFonts w:ascii="Arial" w:hAnsi="Arial" w:cs="Arial"/>
                <w:sz w:val="20"/>
                <w:szCs w:val="20"/>
              </w:rPr>
            </w:pPr>
            <w:r>
              <w:rPr>
                <w:rStyle w:val="FontStyle114"/>
                <w:rFonts w:cs="Arial" w:ascii="Arial" w:hAnsi="Arial"/>
                <w:sz w:val="20"/>
                <w:szCs w:val="20"/>
              </w:rPr>
              <w:t>2012 -</w:t>
            </w:r>
          </w:p>
          <w:p>
            <w:pPr>
              <w:pStyle w:val="Style30"/>
              <w:jc w:val="center"/>
              <w:rPr>
                <w:rStyle w:val="FontStyle114"/>
                <w:rFonts w:ascii="Arial" w:hAnsi="Arial" w:cs="Arial"/>
                <w:sz w:val="20"/>
                <w:szCs w:val="20"/>
              </w:rPr>
            </w:pPr>
            <w:r>
              <w:rPr>
                <w:rStyle w:val="FontStyle114"/>
                <w:rFonts w:cs="Arial" w:ascii="Arial" w:hAnsi="Arial"/>
                <w:sz w:val="20"/>
                <w:szCs w:val="20"/>
              </w:rPr>
              <w:t>2015</w:t>
            </w:r>
          </w:p>
        </w:tc>
        <w:tc>
          <w:tcPr>
            <w:tcW w:w="756" w:type="dxa"/>
            <w:vMerge w:val="restart"/>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jc w:val="center"/>
              <w:rPr>
                <w:rStyle w:val="FontStyle114"/>
                <w:rFonts w:ascii="Arial" w:hAnsi="Arial" w:cs="Arial"/>
                <w:sz w:val="20"/>
                <w:szCs w:val="20"/>
              </w:rPr>
            </w:pPr>
            <w:r>
              <w:rPr>
                <w:rStyle w:val="FontStyle114"/>
                <w:rFonts w:cs="Arial" w:ascii="Arial" w:hAnsi="Arial"/>
                <w:sz w:val="20"/>
                <w:szCs w:val="20"/>
              </w:rPr>
              <w:t xml:space="preserve">2016 - </w:t>
            </w:r>
          </w:p>
          <w:p>
            <w:pPr>
              <w:pStyle w:val="Style30"/>
              <w:jc w:val="center"/>
              <w:rPr>
                <w:rStyle w:val="FontStyle114"/>
                <w:rFonts w:ascii="Arial" w:hAnsi="Arial" w:cs="Arial"/>
                <w:sz w:val="20"/>
                <w:szCs w:val="20"/>
              </w:rPr>
            </w:pPr>
            <w:r>
              <w:rPr>
                <w:rStyle w:val="FontStyle114"/>
                <w:rFonts w:cs="Arial" w:ascii="Arial" w:hAnsi="Arial"/>
                <w:sz w:val="20"/>
                <w:szCs w:val="20"/>
              </w:rPr>
              <w:t>2032</w:t>
            </w:r>
          </w:p>
        </w:tc>
      </w:tr>
      <w:tr>
        <w:trPr>
          <w:trHeight w:val="437" w:hRule="atLeast"/>
        </w:trPr>
        <w:tc>
          <w:tcPr>
            <w:tcW w:w="523" w:type="dxa"/>
            <w:vMerge w:val="continue"/>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textDirection w:val="btLr"/>
            <w:vAlign w:val="center"/>
          </w:tcPr>
          <w:p>
            <w:pPr>
              <w:pStyle w:val="Normal"/>
              <w:spacing w:lineRule="auto" w:line="240" w:before="0" w:after="0"/>
              <w:jc w:val="center"/>
              <w:rPr>
                <w:rStyle w:val="FontStyle114"/>
              </w:rPr>
            </w:pPr>
            <w:r>
              <w:rPr/>
            </w:r>
          </w:p>
        </w:tc>
        <w:tc>
          <w:tcPr>
            <w:tcW w:w="337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76"/>
              <w:widowControl/>
              <w:jc w:val="center"/>
              <w:rPr>
                <w:rFonts w:ascii="Arial" w:hAnsi="Arial" w:cs="Arial"/>
                <w:sz w:val="20"/>
                <w:szCs w:val="20"/>
              </w:rPr>
            </w:pPr>
            <w:r>
              <w:rPr>
                <w:rFonts w:cs="Arial" w:ascii="Arial" w:hAnsi="Arial"/>
                <w:sz w:val="20"/>
                <w:szCs w:val="20"/>
              </w:rPr>
            </w:r>
          </w:p>
        </w:tc>
        <w:tc>
          <w:tcPr>
            <w:tcW w:w="125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[mln zł]</w:t>
            </w:r>
          </w:p>
        </w:tc>
        <w:tc>
          <w:tcPr>
            <w:tcW w:w="81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76"/>
              <w:widowControl/>
              <w:jc w:val="center"/>
              <w:rPr>
                <w:rFonts w:ascii="Arial" w:hAnsi="Arial" w:cs="Arial"/>
                <w:sz w:val="20"/>
                <w:szCs w:val="20"/>
              </w:rPr>
            </w:pPr>
            <w:r>
              <w:rPr>
                <w:rFonts w:cs="Arial" w:ascii="Arial" w:hAnsi="Arial"/>
                <w:sz w:val="20"/>
                <w:szCs w:val="20"/>
              </w:rPr>
            </w:r>
          </w:p>
        </w:tc>
        <w:tc>
          <w:tcPr>
            <w:tcW w:w="80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76"/>
              <w:widowControl/>
              <w:jc w:val="center"/>
              <w:rPr>
                <w:rFonts w:ascii="Arial" w:hAnsi="Arial" w:cs="Arial"/>
                <w:sz w:val="20"/>
                <w:szCs w:val="20"/>
              </w:rPr>
            </w:pPr>
            <w:r>
              <w:rPr>
                <w:rFonts w:cs="Arial" w:ascii="Arial" w:hAnsi="Arial"/>
                <w:sz w:val="20"/>
                <w:szCs w:val="20"/>
              </w:rPr>
            </w:r>
          </w:p>
        </w:tc>
        <w:tc>
          <w:tcPr>
            <w:tcW w:w="7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76"/>
              <w:widowControl/>
              <w:jc w:val="center"/>
              <w:rPr>
                <w:rFonts w:ascii="Arial" w:hAnsi="Arial" w:cs="Arial"/>
                <w:sz w:val="20"/>
                <w:szCs w:val="20"/>
              </w:rPr>
            </w:pPr>
            <w:r>
              <w:rPr>
                <w:rFonts w:cs="Arial" w:ascii="Arial" w:hAnsi="Arial"/>
                <w:sz w:val="20"/>
                <w:szCs w:val="20"/>
              </w:rPr>
            </w:r>
          </w:p>
        </w:tc>
        <w:tc>
          <w:tcPr>
            <w:tcW w:w="776" w:type="dxa"/>
            <w:vMerge w:val="continue"/>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jc w:val="center"/>
              <w:rPr>
                <w:rStyle w:val="FontStyle114"/>
                <w:rFonts w:ascii="Arial" w:hAnsi="Arial" w:cs="Arial"/>
                <w:sz w:val="20"/>
                <w:szCs w:val="20"/>
              </w:rPr>
            </w:pPr>
            <w:r>
              <w:rPr>
                <w:rFonts w:cs="Arial" w:ascii="Arial" w:hAnsi="Arial"/>
                <w:sz w:val="20"/>
                <w:szCs w:val="20"/>
              </w:rPr>
            </w:r>
          </w:p>
        </w:tc>
        <w:tc>
          <w:tcPr>
            <w:tcW w:w="756" w:type="dxa"/>
            <w:vMerge w:val="continue"/>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jc w:val="center"/>
              <w:rPr>
                <w:rStyle w:val="FontStyle114"/>
                <w:rFonts w:ascii="Arial" w:hAnsi="Arial" w:cs="Arial"/>
                <w:sz w:val="20"/>
                <w:szCs w:val="20"/>
              </w:rPr>
            </w:pPr>
            <w:r>
              <w:rPr>
                <w:rFonts w:cs="Arial" w:ascii="Arial" w:hAnsi="Arial"/>
                <w:sz w:val="20"/>
                <w:szCs w:val="20"/>
              </w:rPr>
            </w:r>
          </w:p>
        </w:tc>
      </w:tr>
      <w:tr>
        <w:trPr>
          <w:trHeight w:val="456" w:hRule="atLeast"/>
        </w:trPr>
        <w:tc>
          <w:tcPr>
            <w:tcW w:w="3896" w:type="dxa"/>
            <w:gridSpan w:val="2"/>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ind w:left="1003" w:hanging="0"/>
              <w:jc w:val="center"/>
              <w:rPr>
                <w:rStyle w:val="FontStyle116"/>
                <w:rFonts w:ascii="Arial" w:hAnsi="Arial" w:cs="Arial"/>
                <w:sz w:val="20"/>
                <w:szCs w:val="20"/>
              </w:rPr>
            </w:pPr>
            <w:r>
              <w:rPr>
                <w:rStyle w:val="FontStyle114"/>
                <w:rFonts w:cs="Arial" w:ascii="Arial" w:hAnsi="Arial"/>
                <w:sz w:val="20"/>
                <w:szCs w:val="20"/>
              </w:rPr>
              <w:t xml:space="preserve">Ogółem </w:t>
            </w:r>
            <w:r>
              <w:rPr>
                <w:rStyle w:val="FontStyle116"/>
                <w:rFonts w:cs="Arial" w:ascii="Arial" w:hAnsi="Arial"/>
                <w:sz w:val="20"/>
                <w:szCs w:val="20"/>
              </w:rPr>
              <w:t>[mln zł]</w:t>
            </w:r>
          </w:p>
        </w:tc>
        <w:tc>
          <w:tcPr>
            <w:tcW w:w="125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jc w:val="center"/>
              <w:rPr>
                <w:rStyle w:val="FontStyle114"/>
                <w:rFonts w:ascii="Arial" w:hAnsi="Arial" w:cs="Arial"/>
                <w:sz w:val="20"/>
                <w:szCs w:val="20"/>
              </w:rPr>
            </w:pPr>
            <w:r>
              <w:rPr>
                <w:rStyle w:val="FontStyle114"/>
                <w:rFonts w:cs="Arial" w:ascii="Arial" w:hAnsi="Arial"/>
                <w:sz w:val="20"/>
                <w:szCs w:val="20"/>
              </w:rPr>
              <w:t>53,2</w:t>
            </w:r>
          </w:p>
        </w:tc>
        <w:tc>
          <w:tcPr>
            <w:tcW w:w="81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jc w:val="center"/>
              <w:rPr>
                <w:rStyle w:val="FontStyle114"/>
                <w:rFonts w:ascii="Arial" w:hAnsi="Arial" w:cs="Arial"/>
                <w:sz w:val="20"/>
                <w:szCs w:val="20"/>
              </w:rPr>
            </w:pPr>
            <w:r>
              <w:rPr>
                <w:rStyle w:val="FontStyle114"/>
                <w:rFonts w:cs="Arial" w:ascii="Arial" w:hAnsi="Arial"/>
                <w:sz w:val="20"/>
                <w:szCs w:val="20"/>
              </w:rPr>
              <w:t>4,0</w:t>
            </w:r>
          </w:p>
        </w:tc>
        <w:tc>
          <w:tcPr>
            <w:tcW w:w="80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jc w:val="center"/>
              <w:rPr>
                <w:rStyle w:val="FontStyle114"/>
                <w:rFonts w:ascii="Arial" w:hAnsi="Arial" w:cs="Arial"/>
                <w:sz w:val="20"/>
                <w:szCs w:val="20"/>
              </w:rPr>
            </w:pPr>
            <w:r>
              <w:rPr>
                <w:rStyle w:val="FontStyle114"/>
                <w:rFonts w:cs="Arial" w:ascii="Arial" w:hAnsi="Arial"/>
                <w:sz w:val="20"/>
                <w:szCs w:val="20"/>
              </w:rPr>
              <w:t>4,0</w:t>
            </w:r>
          </w:p>
        </w:tc>
        <w:tc>
          <w:tcPr>
            <w:tcW w:w="7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jc w:val="center"/>
              <w:rPr>
                <w:rStyle w:val="FontStyle114"/>
                <w:rFonts w:ascii="Arial" w:hAnsi="Arial" w:cs="Arial"/>
                <w:sz w:val="20"/>
                <w:szCs w:val="20"/>
              </w:rPr>
            </w:pPr>
            <w:r>
              <w:rPr>
                <w:rStyle w:val="FontStyle114"/>
                <w:rFonts w:cs="Arial" w:ascii="Arial" w:hAnsi="Arial"/>
                <w:sz w:val="20"/>
                <w:szCs w:val="20"/>
              </w:rPr>
              <w:t>4,0</w:t>
            </w:r>
          </w:p>
        </w:tc>
        <w:tc>
          <w:tcPr>
            <w:tcW w:w="77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jc w:val="center"/>
              <w:rPr>
                <w:rStyle w:val="FontStyle114"/>
                <w:rFonts w:ascii="Arial" w:hAnsi="Arial" w:cs="Arial"/>
                <w:sz w:val="20"/>
                <w:szCs w:val="20"/>
              </w:rPr>
            </w:pPr>
            <w:r>
              <w:rPr>
                <w:rStyle w:val="FontStyle114"/>
                <w:rFonts w:cs="Arial" w:ascii="Arial" w:hAnsi="Arial"/>
                <w:sz w:val="20"/>
                <w:szCs w:val="20"/>
              </w:rPr>
              <w:t>16,0</w:t>
            </w:r>
          </w:p>
        </w:tc>
        <w:tc>
          <w:tcPr>
            <w:tcW w:w="75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0"/>
              <w:widowControl/>
              <w:jc w:val="center"/>
              <w:rPr>
                <w:rStyle w:val="FontStyle114"/>
                <w:rFonts w:ascii="Arial" w:hAnsi="Arial" w:cs="Arial"/>
                <w:sz w:val="20"/>
                <w:szCs w:val="20"/>
              </w:rPr>
            </w:pPr>
            <w:r>
              <w:rPr>
                <w:rStyle w:val="FontStyle114"/>
                <w:rFonts w:cs="Arial" w:ascii="Arial" w:hAnsi="Arial"/>
                <w:sz w:val="20"/>
                <w:szCs w:val="20"/>
              </w:rPr>
              <w:t>25,2</w:t>
            </w:r>
          </w:p>
        </w:tc>
      </w:tr>
      <w:tr>
        <w:trPr>
          <w:trHeight w:val="352" w:hRule="atLeast"/>
        </w:trPr>
        <w:tc>
          <w:tcPr>
            <w:tcW w:w="52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1</w:t>
            </w:r>
          </w:p>
        </w:tc>
        <w:tc>
          <w:tcPr>
            <w:tcW w:w="337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7"/>
              <w:widowControl/>
              <w:spacing w:lineRule="auto" w:line="240"/>
              <w:jc w:val="center"/>
              <w:rPr>
                <w:rStyle w:val="FontStyle109"/>
                <w:rFonts w:ascii="Arial" w:hAnsi="Arial" w:cs="Arial"/>
                <w:sz w:val="20"/>
                <w:szCs w:val="20"/>
              </w:rPr>
            </w:pPr>
            <w:r>
              <w:rPr>
                <w:rStyle w:val="FontStyle109"/>
                <w:rFonts w:cs="Arial" w:ascii="Arial" w:hAnsi="Arial"/>
                <w:sz w:val="20"/>
                <w:szCs w:val="20"/>
              </w:rPr>
              <w:t>Działania legislacyjne</w:t>
            </w:r>
          </w:p>
        </w:tc>
        <w:tc>
          <w:tcPr>
            <w:tcW w:w="5115" w:type="dxa"/>
            <w:gridSpan w:val="6"/>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5"/>
              <w:widowControl/>
              <w:ind w:left="1363" w:hanging="0"/>
              <w:jc w:val="center"/>
              <w:rPr>
                <w:rStyle w:val="FontStyle115"/>
                <w:rFonts w:ascii="Arial" w:hAnsi="Arial" w:cs="Arial"/>
                <w:sz w:val="20"/>
                <w:szCs w:val="20"/>
              </w:rPr>
            </w:pPr>
            <w:r>
              <w:rPr>
                <w:rStyle w:val="FontStyle115"/>
                <w:rFonts w:cs="Arial" w:ascii="Arial" w:hAnsi="Arial"/>
                <w:sz w:val="20"/>
                <w:szCs w:val="20"/>
              </w:rPr>
              <w:t>bez nakładów z budżetu</w:t>
            </w:r>
          </w:p>
        </w:tc>
      </w:tr>
      <w:tr>
        <w:trPr>
          <w:trHeight w:val="421" w:hRule="atLeast"/>
        </w:trPr>
        <w:tc>
          <w:tcPr>
            <w:tcW w:w="52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2</w:t>
            </w:r>
          </w:p>
        </w:tc>
        <w:tc>
          <w:tcPr>
            <w:tcW w:w="337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7"/>
              <w:widowControl/>
              <w:spacing w:lineRule="auto" w:line="240"/>
              <w:jc w:val="center"/>
              <w:rPr>
                <w:rStyle w:val="FontStyle109"/>
                <w:rFonts w:ascii="Arial" w:hAnsi="Arial" w:cs="Arial"/>
                <w:sz w:val="20"/>
                <w:szCs w:val="20"/>
              </w:rPr>
            </w:pPr>
            <w:r>
              <w:rPr>
                <w:rStyle w:val="FontStyle109"/>
                <w:rFonts w:cs="Arial" w:ascii="Arial" w:hAnsi="Arial"/>
                <w:sz w:val="20"/>
                <w:szCs w:val="20"/>
              </w:rPr>
              <w:t>Działania edukacyjno-informacyjne</w:t>
            </w:r>
          </w:p>
        </w:tc>
        <w:tc>
          <w:tcPr>
            <w:tcW w:w="125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12,8</w:t>
            </w:r>
          </w:p>
        </w:tc>
        <w:tc>
          <w:tcPr>
            <w:tcW w:w="81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1,3</w:t>
            </w:r>
          </w:p>
        </w:tc>
        <w:tc>
          <w:tcPr>
            <w:tcW w:w="80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0,8</w:t>
            </w:r>
          </w:p>
        </w:tc>
        <w:tc>
          <w:tcPr>
            <w:tcW w:w="7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0,7</w:t>
            </w:r>
          </w:p>
        </w:tc>
        <w:tc>
          <w:tcPr>
            <w:tcW w:w="77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2,8</w:t>
            </w:r>
          </w:p>
        </w:tc>
        <w:tc>
          <w:tcPr>
            <w:tcW w:w="75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7,2</w:t>
            </w:r>
          </w:p>
        </w:tc>
      </w:tr>
      <w:tr>
        <w:trPr/>
        <w:tc>
          <w:tcPr>
            <w:tcW w:w="52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3.1</w:t>
            </w:r>
          </w:p>
        </w:tc>
        <w:tc>
          <w:tcPr>
            <w:tcW w:w="337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7"/>
              <w:widowControl/>
              <w:spacing w:lineRule="exact" w:line="230"/>
              <w:ind w:left="5" w:hanging="5"/>
              <w:jc w:val="center"/>
              <w:rPr>
                <w:rStyle w:val="FontStyle109"/>
                <w:rFonts w:ascii="Arial" w:hAnsi="Arial" w:cs="Arial"/>
                <w:sz w:val="20"/>
                <w:szCs w:val="20"/>
              </w:rPr>
            </w:pPr>
            <w:r>
              <w:rPr>
                <w:rStyle w:val="FontStyle109"/>
                <w:rFonts w:cs="Arial" w:ascii="Arial" w:hAnsi="Arial"/>
                <w:sz w:val="20"/>
                <w:szCs w:val="20"/>
              </w:rPr>
              <w:t>Wsparcie prac przygotowawczych dla oczyszczania z azbestu publicznych terenów i obiektów budowlanych (dokumentacje)</w:t>
            </w:r>
          </w:p>
        </w:tc>
        <w:tc>
          <w:tcPr>
            <w:tcW w:w="125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2,9</w:t>
            </w:r>
          </w:p>
        </w:tc>
        <w:tc>
          <w:tcPr>
            <w:tcW w:w="81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0,3</w:t>
            </w:r>
          </w:p>
        </w:tc>
        <w:tc>
          <w:tcPr>
            <w:tcW w:w="80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0,3</w:t>
            </w:r>
          </w:p>
        </w:tc>
        <w:tc>
          <w:tcPr>
            <w:tcW w:w="7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0,3</w:t>
            </w:r>
          </w:p>
        </w:tc>
        <w:tc>
          <w:tcPr>
            <w:tcW w:w="77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2,0</w:t>
            </w:r>
          </w:p>
        </w:tc>
        <w:tc>
          <w:tcPr>
            <w:tcW w:w="75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w:t>
            </w:r>
          </w:p>
        </w:tc>
      </w:tr>
      <w:tr>
        <w:trPr/>
        <w:tc>
          <w:tcPr>
            <w:tcW w:w="52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3.2</w:t>
            </w:r>
          </w:p>
        </w:tc>
        <w:tc>
          <w:tcPr>
            <w:tcW w:w="337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7"/>
              <w:widowControl/>
              <w:ind w:left="5" w:hanging="5"/>
              <w:jc w:val="center"/>
              <w:rPr>
                <w:rStyle w:val="FontStyle109"/>
                <w:rFonts w:ascii="Arial" w:hAnsi="Arial" w:cs="Arial"/>
                <w:sz w:val="20"/>
                <w:szCs w:val="20"/>
              </w:rPr>
            </w:pPr>
            <w:r>
              <w:rPr>
                <w:rStyle w:val="FontStyle109"/>
                <w:rFonts w:cs="Arial" w:ascii="Arial" w:hAnsi="Arial"/>
                <w:sz w:val="20"/>
                <w:szCs w:val="20"/>
              </w:rPr>
              <w:t>Wsparcie opracowania i aktualizacji gminnych, powiatowych i wojewódzkich programów usuwania wyrobów zawierających azbest</w:t>
            </w:r>
          </w:p>
        </w:tc>
        <w:tc>
          <w:tcPr>
            <w:tcW w:w="125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10,0</w:t>
            </w:r>
          </w:p>
        </w:tc>
        <w:tc>
          <w:tcPr>
            <w:tcW w:w="81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1,3</w:t>
            </w:r>
          </w:p>
        </w:tc>
        <w:tc>
          <w:tcPr>
            <w:tcW w:w="80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1,5</w:t>
            </w:r>
          </w:p>
        </w:tc>
        <w:tc>
          <w:tcPr>
            <w:tcW w:w="7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1,5</w:t>
            </w:r>
          </w:p>
        </w:tc>
        <w:tc>
          <w:tcPr>
            <w:tcW w:w="77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5,7</w:t>
            </w:r>
          </w:p>
        </w:tc>
        <w:tc>
          <w:tcPr>
            <w:tcW w:w="75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w:t>
            </w:r>
          </w:p>
        </w:tc>
      </w:tr>
      <w:tr>
        <w:trPr>
          <w:trHeight w:val="375" w:hRule="atLeast"/>
        </w:trPr>
        <w:tc>
          <w:tcPr>
            <w:tcW w:w="52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3.3</w:t>
            </w:r>
          </w:p>
        </w:tc>
        <w:tc>
          <w:tcPr>
            <w:tcW w:w="337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7"/>
              <w:widowControl/>
              <w:spacing w:lineRule="auto" w:line="240"/>
              <w:jc w:val="center"/>
              <w:rPr>
                <w:rStyle w:val="FontStyle109"/>
                <w:rFonts w:ascii="Arial" w:hAnsi="Arial" w:cs="Arial"/>
                <w:sz w:val="20"/>
                <w:szCs w:val="20"/>
              </w:rPr>
            </w:pPr>
            <w:r>
              <w:rPr>
                <w:rStyle w:val="FontStyle109"/>
                <w:rFonts w:cs="Arial" w:ascii="Arial" w:hAnsi="Arial"/>
                <w:sz w:val="20"/>
                <w:szCs w:val="20"/>
              </w:rPr>
              <w:t>Wsparcie szkoleń lokalnych</w:t>
            </w:r>
          </w:p>
        </w:tc>
        <w:tc>
          <w:tcPr>
            <w:tcW w:w="125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16,3</w:t>
            </w:r>
          </w:p>
        </w:tc>
        <w:tc>
          <w:tcPr>
            <w:tcW w:w="81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ind w:left="245" w:hanging="0"/>
              <w:jc w:val="center"/>
              <w:rPr>
                <w:rStyle w:val="FontStyle116"/>
                <w:rFonts w:ascii="Arial" w:hAnsi="Arial" w:cs="Arial"/>
                <w:sz w:val="20"/>
                <w:szCs w:val="20"/>
              </w:rPr>
            </w:pPr>
            <w:r>
              <w:rPr>
                <w:rStyle w:val="FontStyle116"/>
                <w:rFonts w:cs="Arial" w:ascii="Arial" w:hAnsi="Arial"/>
                <w:sz w:val="20"/>
                <w:szCs w:val="20"/>
              </w:rPr>
              <w:t>0</w:t>
            </w:r>
          </w:p>
        </w:tc>
        <w:tc>
          <w:tcPr>
            <w:tcW w:w="80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0,6</w:t>
            </w:r>
          </w:p>
        </w:tc>
        <w:tc>
          <w:tcPr>
            <w:tcW w:w="7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0,7</w:t>
            </w:r>
          </w:p>
        </w:tc>
        <w:tc>
          <w:tcPr>
            <w:tcW w:w="77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3,3</w:t>
            </w:r>
          </w:p>
        </w:tc>
        <w:tc>
          <w:tcPr>
            <w:tcW w:w="75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11,7</w:t>
            </w:r>
          </w:p>
        </w:tc>
      </w:tr>
      <w:tr>
        <w:trPr>
          <w:trHeight w:val="422" w:hRule="atLeast"/>
        </w:trPr>
        <w:tc>
          <w:tcPr>
            <w:tcW w:w="52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4</w:t>
            </w:r>
          </w:p>
        </w:tc>
        <w:tc>
          <w:tcPr>
            <w:tcW w:w="337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7"/>
              <w:widowControl/>
              <w:spacing w:lineRule="auto" w:line="240"/>
              <w:jc w:val="center"/>
              <w:rPr>
                <w:rStyle w:val="FontStyle108"/>
                <w:rFonts w:ascii="Arial" w:hAnsi="Arial" w:cs="Arial"/>
                <w:sz w:val="20"/>
                <w:szCs w:val="20"/>
              </w:rPr>
            </w:pPr>
            <w:r>
              <w:rPr>
                <w:rStyle w:val="FontStyle109"/>
                <w:rFonts w:cs="Arial" w:ascii="Arial" w:hAnsi="Arial"/>
                <w:sz w:val="20"/>
                <w:szCs w:val="20"/>
              </w:rPr>
              <w:t xml:space="preserve">Monitoring realizacji </w:t>
            </w:r>
            <w:r>
              <w:rPr>
                <w:rStyle w:val="FontStyle108"/>
                <w:rFonts w:cs="Arial" w:ascii="Arial" w:hAnsi="Arial"/>
                <w:sz w:val="20"/>
                <w:szCs w:val="20"/>
              </w:rPr>
              <w:t>Programu</w:t>
            </w:r>
          </w:p>
        </w:tc>
        <w:tc>
          <w:tcPr>
            <w:tcW w:w="125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7,2</w:t>
            </w:r>
          </w:p>
        </w:tc>
        <w:tc>
          <w:tcPr>
            <w:tcW w:w="81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0,7</w:t>
            </w:r>
          </w:p>
        </w:tc>
        <w:tc>
          <w:tcPr>
            <w:tcW w:w="80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0,5</w:t>
            </w:r>
          </w:p>
        </w:tc>
        <w:tc>
          <w:tcPr>
            <w:tcW w:w="7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0,5</w:t>
            </w:r>
          </w:p>
        </w:tc>
        <w:tc>
          <w:tcPr>
            <w:tcW w:w="77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1,0</w:t>
            </w:r>
          </w:p>
        </w:tc>
        <w:tc>
          <w:tcPr>
            <w:tcW w:w="75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4,5</w:t>
            </w:r>
          </w:p>
        </w:tc>
      </w:tr>
      <w:tr>
        <w:trPr/>
        <w:tc>
          <w:tcPr>
            <w:tcW w:w="52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5</w:t>
            </w:r>
          </w:p>
        </w:tc>
        <w:tc>
          <w:tcPr>
            <w:tcW w:w="3373"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37"/>
              <w:widowControl/>
              <w:spacing w:lineRule="exact" w:line="221"/>
              <w:ind w:left="5" w:hanging="5"/>
              <w:jc w:val="center"/>
              <w:rPr>
                <w:rStyle w:val="FontStyle109"/>
                <w:rFonts w:ascii="Arial" w:hAnsi="Arial" w:cs="Arial"/>
                <w:sz w:val="20"/>
                <w:szCs w:val="20"/>
              </w:rPr>
            </w:pPr>
            <w:r>
              <w:rPr>
                <w:rStyle w:val="FontStyle109"/>
                <w:rFonts w:cs="Arial" w:ascii="Arial" w:hAnsi="Arial"/>
                <w:sz w:val="20"/>
                <w:szCs w:val="20"/>
              </w:rPr>
              <w:t>Działania w zakresie oceny narażenia i ochrony zdrowia</w:t>
            </w:r>
          </w:p>
        </w:tc>
        <w:tc>
          <w:tcPr>
            <w:tcW w:w="1258"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4,0</w:t>
            </w:r>
          </w:p>
        </w:tc>
        <w:tc>
          <w:tcPr>
            <w:tcW w:w="81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0,4</w:t>
            </w:r>
          </w:p>
        </w:tc>
        <w:tc>
          <w:tcPr>
            <w:tcW w:w="800"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0,3</w:t>
            </w:r>
          </w:p>
        </w:tc>
        <w:tc>
          <w:tcPr>
            <w:tcW w:w="709"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0,3</w:t>
            </w:r>
          </w:p>
        </w:tc>
        <w:tc>
          <w:tcPr>
            <w:tcW w:w="77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1,2</w:t>
            </w:r>
          </w:p>
        </w:tc>
        <w:tc>
          <w:tcPr>
            <w:tcW w:w="756" w:type="dxa"/>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cBorders>
            <w:shd w:fill="auto" w:val="clear"/>
            <w:vAlign w:val="center"/>
          </w:tcPr>
          <w:p>
            <w:pPr>
              <w:pStyle w:val="Style27"/>
              <w:widowControl/>
              <w:jc w:val="center"/>
              <w:rPr>
                <w:rStyle w:val="FontStyle116"/>
                <w:rFonts w:ascii="Arial" w:hAnsi="Arial" w:cs="Arial"/>
                <w:sz w:val="20"/>
                <w:szCs w:val="20"/>
              </w:rPr>
            </w:pPr>
            <w:r>
              <w:rPr>
                <w:rStyle w:val="FontStyle116"/>
                <w:rFonts w:cs="Arial" w:ascii="Arial" w:hAnsi="Arial"/>
                <w:sz w:val="20"/>
                <w:szCs w:val="20"/>
              </w:rPr>
              <w:t>1,8</w:t>
            </w:r>
          </w:p>
        </w:tc>
      </w:tr>
    </w:tbl>
    <w:p>
      <w:pPr>
        <w:pStyle w:val="Normal"/>
        <w:spacing w:lineRule="auto" w:line="360"/>
        <w:jc w:val="both"/>
        <w:rPr>
          <w:rFonts w:ascii="Arial" w:hAnsi="Arial" w:cs="Arial"/>
          <w:b/>
          <w:b/>
          <w:i/>
          <w:i/>
        </w:rPr>
      </w:pPr>
      <w:r>
        <w:rPr>
          <w:rFonts w:cs="Arial" w:ascii="Arial" w:hAnsi="Arial"/>
          <w:b/>
          <w:i/>
        </w:rPr>
      </w:r>
    </w:p>
    <w:p>
      <w:pPr>
        <w:pStyle w:val="Style23"/>
        <w:widowControl/>
        <w:spacing w:lineRule="auto" w:line="360"/>
        <w:ind w:hanging="0"/>
        <w:rPr>
          <w:rStyle w:val="FontStyle116"/>
          <w:rFonts w:ascii="Arial" w:hAnsi="Arial" w:cs="Arial"/>
          <w:b/>
          <w:b/>
        </w:rPr>
      </w:pPr>
      <w:r>
        <w:rPr>
          <w:rFonts w:cs="Arial" w:ascii="Arial" w:hAnsi="Arial"/>
          <w:b/>
        </w:rPr>
      </w:r>
    </w:p>
    <w:p>
      <w:pPr>
        <w:pStyle w:val="Style23"/>
        <w:widowControl/>
        <w:spacing w:lineRule="auto" w:line="360"/>
        <w:ind w:hanging="0"/>
        <w:rPr>
          <w:rStyle w:val="FontStyle116"/>
          <w:rFonts w:ascii="Arial" w:hAnsi="Arial" w:cs="Arial"/>
          <w:b/>
          <w:b/>
        </w:rPr>
      </w:pPr>
      <w:r>
        <w:rPr>
          <w:rStyle w:val="FontStyle116"/>
          <w:rFonts w:cs="Arial" w:ascii="Arial" w:hAnsi="Arial"/>
          <w:b/>
        </w:rPr>
        <w:t>Środki z funduszy ochrony środowiska - Narodowy Fundusz Ochrony Środowiska i Gospodarki Wodnej oraz Wojewódzkie Fundusze Ochrony Środowiska i Gospodarki Wodnej.</w:t>
      </w:r>
    </w:p>
    <w:p>
      <w:pPr>
        <w:pStyle w:val="Style23"/>
        <w:widowControl/>
        <w:spacing w:lineRule="auto" w:line="360"/>
        <w:ind w:hanging="0"/>
        <w:rPr>
          <w:rStyle w:val="FontStyle116"/>
          <w:rFonts w:ascii="Arial" w:hAnsi="Arial" w:cs="Arial"/>
          <w:b/>
          <w:b/>
        </w:rPr>
      </w:pPr>
      <w:r>
        <w:rPr>
          <w:rFonts w:cs="Arial" w:ascii="Arial" w:hAnsi="Arial"/>
          <w:b/>
        </w:rPr>
      </w:r>
    </w:p>
    <w:p>
      <w:pPr>
        <w:pStyle w:val="Style23"/>
        <w:widowControl/>
        <w:spacing w:lineRule="auto" w:line="360"/>
        <w:ind w:firstLine="715"/>
        <w:rPr>
          <w:rStyle w:val="FontStyle116"/>
          <w:rFonts w:ascii="Arial" w:hAnsi="Arial" w:cs="Arial"/>
        </w:rPr>
      </w:pPr>
      <w:r>
        <w:rPr>
          <w:rStyle w:val="FontStyle116"/>
          <w:rFonts w:cs="Arial" w:ascii="Arial" w:hAnsi="Arial"/>
        </w:rPr>
        <w:t>Udzielają dotacji, pożyczek oraz przekazują środki finansowe na podstawie umów cywilnoprawnych.</w:t>
      </w:r>
    </w:p>
    <w:p>
      <w:pPr>
        <w:pStyle w:val="Style23"/>
        <w:widowControl/>
        <w:spacing w:lineRule="auto" w:line="360"/>
        <w:ind w:firstLine="730"/>
        <w:rPr>
          <w:rStyle w:val="FontStyle116"/>
          <w:rFonts w:ascii="Arial" w:hAnsi="Arial" w:cs="Arial"/>
        </w:rPr>
      </w:pPr>
      <w:r>
        <w:rPr>
          <w:rStyle w:val="FontStyle116"/>
          <w:rFonts w:cs="Arial" w:ascii="Arial" w:hAnsi="Arial"/>
        </w:rPr>
        <w:t>Do zadań związanych z oczyszczaniem kraju z azbestu można w szczególności zaliczyć:</w:t>
      </w:r>
    </w:p>
    <w:p>
      <w:pPr>
        <w:pStyle w:val="Style17"/>
        <w:widowControl/>
        <w:numPr>
          <w:ilvl w:val="0"/>
          <w:numId w:val="37"/>
        </w:numPr>
        <w:tabs>
          <w:tab w:val="left" w:pos="355" w:leader="none"/>
        </w:tabs>
        <w:spacing w:lineRule="auto" w:line="360" w:before="29" w:after="200"/>
        <w:rPr>
          <w:rStyle w:val="FontStyle116"/>
          <w:rFonts w:ascii="Arial" w:hAnsi="Arial" w:cs="Arial"/>
        </w:rPr>
      </w:pPr>
      <w:r>
        <w:rPr>
          <w:rStyle w:val="FontStyle116"/>
          <w:rFonts w:cs="Arial" w:ascii="Arial" w:hAnsi="Arial"/>
        </w:rPr>
        <w:t>przedsięwzięcia z zakresu gospodarki odpadami;</w:t>
      </w:r>
    </w:p>
    <w:p>
      <w:pPr>
        <w:pStyle w:val="Style17"/>
        <w:widowControl/>
        <w:numPr>
          <w:ilvl w:val="0"/>
          <w:numId w:val="37"/>
        </w:numPr>
        <w:tabs>
          <w:tab w:val="left" w:pos="355" w:leader="none"/>
        </w:tabs>
        <w:spacing w:lineRule="auto" w:line="360"/>
        <w:rPr>
          <w:rStyle w:val="FontStyle116"/>
          <w:rFonts w:ascii="Arial" w:hAnsi="Arial" w:cs="Arial"/>
        </w:rPr>
      </w:pPr>
      <w:r>
        <w:rPr>
          <w:rStyle w:val="FontStyle116"/>
          <w:rFonts w:cs="Arial" w:ascii="Arial" w:hAnsi="Arial"/>
        </w:rPr>
        <w:t>przedsięwzięcia z zakresu ochrony powierzchni ziemi;</w:t>
      </w:r>
    </w:p>
    <w:p>
      <w:pPr>
        <w:pStyle w:val="Style17"/>
        <w:widowControl/>
        <w:numPr>
          <w:ilvl w:val="0"/>
          <w:numId w:val="37"/>
        </w:numPr>
        <w:tabs>
          <w:tab w:val="left" w:pos="355" w:leader="none"/>
        </w:tabs>
        <w:spacing w:lineRule="auto" w:line="360"/>
        <w:rPr>
          <w:rStyle w:val="FontStyle116"/>
          <w:rFonts w:ascii="Arial" w:hAnsi="Arial" w:cs="Arial"/>
        </w:rPr>
      </w:pPr>
      <w:r>
        <w:rPr>
          <w:rStyle w:val="FontStyle116"/>
          <w:rFonts w:cs="Arial" w:ascii="Arial" w:hAnsi="Arial"/>
        </w:rPr>
        <w:t>rozwój sieci laboratoriów służących ochronie środowiska;</w:t>
      </w:r>
    </w:p>
    <w:p>
      <w:pPr>
        <w:pStyle w:val="Style17"/>
        <w:widowControl/>
        <w:numPr>
          <w:ilvl w:val="0"/>
          <w:numId w:val="37"/>
        </w:numPr>
        <w:tabs>
          <w:tab w:val="left" w:pos="355" w:leader="none"/>
        </w:tabs>
        <w:spacing w:lineRule="auto" w:line="360" w:before="86" w:after="200"/>
        <w:ind w:left="355" w:hanging="355"/>
        <w:rPr>
          <w:rStyle w:val="FontStyle116"/>
          <w:rFonts w:ascii="Arial" w:hAnsi="Arial" w:cs="Arial"/>
        </w:rPr>
      </w:pPr>
      <w:r>
        <w:rPr>
          <w:rStyle w:val="FontStyle116"/>
          <w:rFonts w:cs="Arial" w:ascii="Arial" w:hAnsi="Arial"/>
        </w:rPr>
        <w:t>edukację ekologiczną oraz propagowanie działań proekologicznych i zasady zrównoważonego rozwoju;</w:t>
      </w:r>
    </w:p>
    <w:p>
      <w:pPr>
        <w:pStyle w:val="Style17"/>
        <w:widowControl/>
        <w:numPr>
          <w:ilvl w:val="0"/>
          <w:numId w:val="37"/>
        </w:numPr>
        <w:tabs>
          <w:tab w:val="left" w:pos="355" w:leader="none"/>
        </w:tabs>
        <w:spacing w:lineRule="auto" w:line="360" w:before="134" w:after="200"/>
        <w:rPr>
          <w:rStyle w:val="FontStyle116"/>
          <w:rFonts w:ascii="Arial" w:hAnsi="Arial" w:cs="Arial"/>
        </w:rPr>
      </w:pPr>
      <w:r>
        <w:rPr>
          <w:rStyle w:val="FontStyle116"/>
          <w:rFonts w:cs="Arial" w:ascii="Arial" w:hAnsi="Arial"/>
        </w:rPr>
        <w:t>opracowywanie i wdrażanie nowych technik i technologii w zakresie ochrony środowiska;</w:t>
      </w:r>
    </w:p>
    <w:p>
      <w:pPr>
        <w:pStyle w:val="Style17"/>
        <w:widowControl/>
        <w:numPr>
          <w:ilvl w:val="0"/>
          <w:numId w:val="37"/>
        </w:numPr>
        <w:tabs>
          <w:tab w:val="left" w:pos="355" w:leader="none"/>
        </w:tabs>
        <w:spacing w:lineRule="auto" w:line="360" w:before="125" w:after="200"/>
        <w:ind w:left="355" w:hanging="355"/>
        <w:rPr>
          <w:rStyle w:val="FontStyle116"/>
          <w:rFonts w:ascii="Arial" w:hAnsi="Arial" w:cs="Arial"/>
        </w:rPr>
      </w:pPr>
      <w:r>
        <w:rPr>
          <w:rStyle w:val="FontStyle116"/>
          <w:rFonts w:cs="Arial" w:ascii="Arial" w:hAnsi="Arial"/>
        </w:rPr>
        <w:t>wojewódzkie programy ochrony środowiska, programy ochrony powietrza, plany gospodarki odpadami, a także wspomaganie realizacji tych programów i planów;</w:t>
      </w:r>
    </w:p>
    <w:p>
      <w:pPr>
        <w:pStyle w:val="Style17"/>
        <w:widowControl/>
        <w:numPr>
          <w:ilvl w:val="0"/>
          <w:numId w:val="37"/>
        </w:numPr>
        <w:tabs>
          <w:tab w:val="left" w:pos="355" w:leader="none"/>
        </w:tabs>
        <w:spacing w:lineRule="auto" w:line="360" w:before="120" w:after="200"/>
        <w:ind w:left="355" w:hanging="355"/>
        <w:rPr>
          <w:rStyle w:val="FontStyle116"/>
          <w:rFonts w:ascii="Arial" w:hAnsi="Arial" w:cs="Arial"/>
        </w:rPr>
      </w:pPr>
      <w:r>
        <w:rPr>
          <w:rStyle w:val="FontStyle116"/>
          <w:rFonts w:cs="Arial" w:ascii="Arial" w:hAnsi="Arial"/>
        </w:rPr>
        <w:t xml:space="preserve">współfinansowanie projektów inwestycyjnych z zakresu ochrony środowiska, które mają być współfinansowane ze środków pochodzących z Unii Europejskiej, w ramach współpracy z organizacjami międzynarodowymi oraz współpracy dwustronnej, a także realizowanych na zasadach określonych w </w:t>
      </w:r>
      <w:r>
        <w:rPr>
          <w:rStyle w:val="FontStyle116"/>
          <w:rFonts w:cs="Arial" w:ascii="Arial" w:hAnsi="Arial"/>
          <w:i/>
        </w:rPr>
        <w:t xml:space="preserve">Ustawie z dnia 19 grudnia 2008 r. </w:t>
        <w:br/>
        <w:t>o partnerstwie publiczno-prywatnym ( t.j.</w:t>
      </w:r>
      <w:r>
        <w:rPr>
          <w:i/>
        </w:rPr>
        <w:t xml:space="preserve"> </w:t>
      </w:r>
      <w:r>
        <w:rPr>
          <w:rStyle w:val="FontStyle116"/>
          <w:rFonts w:cs="Arial" w:ascii="Arial" w:hAnsi="Arial"/>
          <w:i/>
        </w:rPr>
        <w:t>Dz.U. 2019 poz. 1445).</w:t>
      </w:r>
    </w:p>
    <w:p>
      <w:pPr>
        <w:pStyle w:val="Style18"/>
        <w:widowControl/>
        <w:spacing w:lineRule="auto" w:line="360" w:before="53" w:after="200"/>
        <w:ind w:firstLine="557"/>
        <w:rPr>
          <w:rStyle w:val="FontStyle116"/>
          <w:rFonts w:ascii="Arial" w:hAnsi="Arial" w:cs="Arial"/>
          <w:b/>
          <w:b/>
          <w:i/>
          <w:i/>
        </w:rPr>
      </w:pPr>
      <w:r>
        <w:rPr>
          <w:rFonts w:cs="Arial" w:ascii="Arial" w:hAnsi="Arial"/>
          <w:b/>
          <w:i/>
        </w:rPr>
      </w:r>
    </w:p>
    <w:p>
      <w:pPr>
        <w:pStyle w:val="Style18"/>
        <w:widowControl/>
        <w:spacing w:lineRule="auto" w:line="360" w:before="53" w:after="200"/>
        <w:ind w:hanging="0"/>
        <w:jc w:val="left"/>
        <w:rPr>
          <w:rStyle w:val="FontStyle116"/>
          <w:rFonts w:ascii="Arial" w:hAnsi="Arial" w:cs="Arial"/>
          <w:b/>
          <w:b/>
        </w:rPr>
      </w:pPr>
      <w:r>
        <w:rPr>
          <w:rStyle w:val="FontStyle116"/>
          <w:rFonts w:cs="Arial" w:ascii="Arial" w:hAnsi="Arial"/>
          <w:b/>
        </w:rPr>
        <w:t>Bank Ochrony Środowiska S.A. (BOŚ)</w:t>
      </w:r>
    </w:p>
    <w:p>
      <w:pPr>
        <w:pStyle w:val="Style18"/>
        <w:widowControl/>
        <w:spacing w:lineRule="auto" w:line="360" w:before="53" w:after="200"/>
        <w:ind w:hanging="0"/>
        <w:jc w:val="left"/>
        <w:rPr>
          <w:rStyle w:val="FontStyle116"/>
          <w:rFonts w:ascii="Arial" w:hAnsi="Arial" w:cs="Arial"/>
          <w:b/>
          <w:b/>
        </w:rPr>
      </w:pPr>
      <w:r>
        <w:rPr>
          <w:rFonts w:cs="Arial" w:ascii="Arial" w:hAnsi="Arial"/>
          <w:b/>
        </w:rPr>
      </w:r>
    </w:p>
    <w:p>
      <w:pPr>
        <w:pStyle w:val="Style18"/>
        <w:widowControl/>
        <w:spacing w:lineRule="auto" w:line="360" w:before="53" w:after="200"/>
        <w:ind w:firstLine="708"/>
        <w:rPr>
          <w:rStyle w:val="FontStyle116"/>
          <w:rFonts w:ascii="Arial" w:hAnsi="Arial" w:cs="Arial"/>
        </w:rPr>
      </w:pPr>
      <w:r>
        <w:rPr>
          <w:rStyle w:val="FontStyle116"/>
          <w:rFonts w:cs="Arial" w:ascii="Arial" w:hAnsi="Arial"/>
        </w:rPr>
        <w:t>Bank Ochrony Środowiska jest uniwersalnym bankiem komercyjnym specjalizującym się w finansowaniu przedsięwzięć proekologicznych. BOŚ współpracuje z polskimi i zagranicznymi instytucjami finansowymi, w tym funduszami i fundacjami działającymi na rzecz ochrony środowiska. Dzięki temu oferuje szeroką gamę kredytów. Zadania z zakresu usuwania wyrobów zawierających azbest mogą być finansowane poprzez udzielanie następujących rodzajów kredytów:</w:t>
      </w:r>
    </w:p>
    <w:p>
      <w:pPr>
        <w:pStyle w:val="Style17"/>
        <w:widowControl/>
        <w:numPr>
          <w:ilvl w:val="0"/>
          <w:numId w:val="38"/>
        </w:numPr>
        <w:tabs>
          <w:tab w:val="left" w:pos="355" w:leader="none"/>
        </w:tabs>
        <w:spacing w:lineRule="auto" w:line="360" w:before="115" w:after="200"/>
        <w:ind w:left="355" w:hanging="355"/>
        <w:rPr>
          <w:rStyle w:val="FontStyle116"/>
          <w:rFonts w:ascii="Arial" w:hAnsi="Arial" w:cs="Arial"/>
        </w:rPr>
      </w:pPr>
      <w:r>
        <w:rPr>
          <w:rStyle w:val="FontStyle116"/>
          <w:rFonts w:cs="Arial" w:ascii="Arial" w:hAnsi="Arial"/>
        </w:rPr>
        <w:t>kredyty preferencyjne z dopłatami z Wojewódzkich Funduszy Ochrony Środowiska</w:t>
        <w:br/>
        <w:t>i Gospodarki Wodnej do oprocentowania, charakteryzujące się m.in. niższym od komercyjnego oprocentowaniem i możliwością uzyskania karencji w spłacie kapitału. Warunki udzielania tych kredytów są zróżnicowane, określone w umowie przez konkretny WFOŚiGW (przedsięwzięcie musi wpisywać się w listę priorytetów funduszu);</w:t>
      </w:r>
    </w:p>
    <w:p>
      <w:pPr>
        <w:pStyle w:val="Style17"/>
        <w:widowControl/>
        <w:numPr>
          <w:ilvl w:val="0"/>
          <w:numId w:val="38"/>
        </w:numPr>
        <w:tabs>
          <w:tab w:val="left" w:pos="355" w:leader="none"/>
        </w:tabs>
        <w:spacing w:lineRule="auto" w:line="360" w:before="115" w:after="200"/>
        <w:ind w:left="355" w:hanging="355"/>
        <w:rPr>
          <w:rStyle w:val="FontStyle116"/>
          <w:rFonts w:ascii="Arial" w:hAnsi="Arial" w:cs="Arial"/>
        </w:rPr>
      </w:pPr>
      <w:r>
        <w:rPr>
          <w:rStyle w:val="FontStyle116"/>
          <w:rFonts w:cs="Arial" w:ascii="Arial" w:hAnsi="Arial"/>
        </w:rPr>
        <w:t xml:space="preserve">kredyty komercyjne ze środków banków zagranicznych - linia KfW5 </w:t>
      </w:r>
      <w:r>
        <w:rPr>
          <w:rStyle w:val="FontStyle115"/>
          <w:rFonts w:cs="Arial" w:ascii="Arial" w:hAnsi="Arial"/>
          <w:lang w:val="de-DE"/>
        </w:rPr>
        <w:t xml:space="preserve">(Kreditanstalt für Wiederaufbau) </w:t>
      </w:r>
      <w:r>
        <w:rPr>
          <w:rStyle w:val="FontStyle116"/>
          <w:rFonts w:cs="Arial" w:ascii="Arial" w:hAnsi="Arial"/>
        </w:rPr>
        <w:t>oraz ze środków banku, w tym w ramach porozumień BOŚ ze sprzedawcami i dystrybutorami wyrobów służących ochronie środowiska.</w:t>
      </w:r>
    </w:p>
    <w:p>
      <w:pPr>
        <w:pStyle w:val="Style17"/>
        <w:widowControl/>
        <w:tabs>
          <w:tab w:val="left" w:pos="355" w:leader="none"/>
        </w:tabs>
        <w:spacing w:lineRule="auto" w:line="360" w:before="115" w:after="200"/>
        <w:ind w:left="355" w:hanging="0"/>
        <w:rPr>
          <w:rFonts w:ascii="Arial" w:hAnsi="Arial" w:cs="Arial"/>
          <w:sz w:val="22"/>
          <w:szCs w:val="22"/>
        </w:rPr>
      </w:pPr>
      <w:r>
        <w:rPr>
          <w:rFonts w:cs="Arial" w:ascii="Arial" w:hAnsi="Arial"/>
          <w:sz w:val="22"/>
          <w:szCs w:val="22"/>
        </w:rPr>
      </w:r>
    </w:p>
    <w:p>
      <w:pPr>
        <w:pStyle w:val="Normal"/>
        <w:spacing w:lineRule="auto" w:line="360"/>
        <w:jc w:val="both"/>
        <w:rPr>
          <w:rFonts w:ascii="Arial" w:hAnsi="Arial" w:cs="Arial"/>
          <w:b/>
          <w:b/>
        </w:rPr>
      </w:pPr>
      <w:r>
        <w:rPr>
          <w:rFonts w:cs="Arial" w:ascii="Arial" w:hAnsi="Arial"/>
          <w:b/>
        </w:rPr>
        <w:t>Środki z Unii Europejskiej</w:t>
      </w:r>
    </w:p>
    <w:p>
      <w:pPr>
        <w:pStyle w:val="Style18"/>
        <w:widowControl/>
        <w:spacing w:lineRule="auto" w:line="360" w:before="115" w:after="200"/>
        <w:ind w:firstLine="557"/>
        <w:rPr>
          <w:rStyle w:val="FontStyle116"/>
          <w:rFonts w:ascii="Arial" w:hAnsi="Arial" w:cs="Arial"/>
        </w:rPr>
      </w:pPr>
      <w:r>
        <w:rPr>
          <w:rStyle w:val="FontStyle116"/>
          <w:rFonts w:cs="Arial" w:ascii="Arial" w:hAnsi="Arial"/>
        </w:rPr>
        <w:t>W okresie programowania 2014-2020 pomoc finansowa z funduszy strukturalnych Unii Europejskiej będzie przyznawana w Polsce w ramach poszczególnych programów pomocowych (tzw. programów operacyjnych), stanowiących narzędzia realizacji Narodowej Strategii Spójności.</w:t>
      </w:r>
    </w:p>
    <w:p>
      <w:pPr>
        <w:pStyle w:val="Style18"/>
        <w:widowControl/>
        <w:spacing w:lineRule="auto" w:line="360" w:before="115" w:after="200"/>
        <w:ind w:firstLine="562"/>
        <w:rPr>
          <w:rStyle w:val="FontStyle116"/>
          <w:rFonts w:ascii="Arial" w:hAnsi="Arial" w:cs="Arial"/>
        </w:rPr>
      </w:pPr>
      <w:r>
        <w:rPr>
          <w:rStyle w:val="FontStyle116"/>
          <w:rFonts w:cs="Arial" w:ascii="Arial" w:hAnsi="Arial"/>
        </w:rPr>
        <w:t>W zależności od rodzaju programu, beneficjentami mogą być m.in. jednostki samorządu terytorialnego oraz ich związki, podmioty świadczące usługi z zakresu zadań własnych jednostek samorządu terytorialnego, jednostki organizacyjne jednostek samorządu terytorialnego posiadające osobowość prawną, spółdzielnie mieszkaniowe, wspólnoty mieszkaniowe, gminy wiejskie, miejsko-wiejskie i miejskie, młodzi rolnicy, rolnicy podejmujący działalność nierolniczą.</w:t>
      </w:r>
    </w:p>
    <w:p>
      <w:pPr>
        <w:pStyle w:val="Style18"/>
        <w:widowControl/>
        <w:spacing w:lineRule="auto" w:line="360" w:before="120" w:after="200"/>
        <w:ind w:firstLine="566"/>
        <w:rPr>
          <w:rStyle w:val="FontStyle116"/>
          <w:rFonts w:ascii="Arial" w:hAnsi="Arial" w:cs="Arial"/>
        </w:rPr>
      </w:pPr>
      <w:r>
        <w:rPr>
          <w:rStyle w:val="FontStyle116"/>
          <w:rFonts w:cs="Arial" w:ascii="Arial" w:hAnsi="Arial"/>
        </w:rPr>
        <w:t xml:space="preserve">Usuwanie azbestu i wyrobów zawierających azbest w latach może być wspierane ze środków unijnych w ramach Regionalnych Programów Operacyjnych (RPO). </w:t>
      </w:r>
    </w:p>
    <w:p>
      <w:pPr>
        <w:pStyle w:val="Style18"/>
        <w:widowControl/>
        <w:spacing w:lineRule="auto" w:line="360" w:before="115" w:after="200"/>
        <w:ind w:firstLine="566"/>
        <w:rPr>
          <w:rStyle w:val="FontStyle116"/>
          <w:rFonts w:ascii="Arial" w:hAnsi="Arial" w:cs="Arial"/>
        </w:rPr>
      </w:pPr>
      <w:r>
        <w:rPr>
          <w:rStyle w:val="FontStyle116"/>
          <w:rFonts w:cs="Arial" w:ascii="Arial" w:hAnsi="Arial"/>
        </w:rPr>
        <w:t>Nie ma możliwości oszacowania środków finansowych przeznaczanych w ramach RPO na działania związane z bezpiecznym usuwaniem azbestu, ponieważ jest to zależne od ilości złożonych wniosków w ramach konkursów ogłaszanych w poszczególnych województwach oraz od ilości wybranych projektów do dofinansowania.</w:t>
      </w:r>
    </w:p>
    <w:p>
      <w:pPr>
        <w:pStyle w:val="Style18"/>
        <w:widowControl/>
        <w:spacing w:lineRule="auto" w:line="360" w:before="115" w:after="200"/>
        <w:ind w:firstLine="566"/>
        <w:rPr>
          <w:rStyle w:val="FontStyle116"/>
          <w:rFonts w:ascii="Arial" w:hAnsi="Arial" w:cs="Arial"/>
        </w:rPr>
      </w:pPr>
      <w:r>
        <w:rPr>
          <w:rStyle w:val="FontStyle116"/>
          <w:rFonts w:cs="Arial" w:ascii="Arial" w:hAnsi="Arial"/>
        </w:rPr>
        <w:t>Projekty z zakresu remontów lub przebudowy budynków mogą dotyczyć renowacji części wspólnych wielorodzinnych budynków mieszkalnych, renowacji lub adaptacji budynków na cele mieszkaniowe, modernizacji gospodarstw rolnych, a także działań w zakresie ułatwiania startu młodym rolnikom, różnicowania działalności w kierunku nierolniczym, odnowę i rozwój wsi. Wsparcie udzielane jest w ramach Regionalnych Programów Operacyjnych i Programów Rozwoju Obszarów Wiejskich.</w:t>
      </w:r>
    </w:p>
    <w:p>
      <w:pPr>
        <w:pStyle w:val="Normal"/>
        <w:rPr/>
      </w:pPr>
      <w:r>
        <w:rPr/>
      </w:r>
    </w:p>
    <w:p>
      <w:pPr>
        <w:pStyle w:val="Nagwek1"/>
        <w:rPr>
          <w:sz w:val="24"/>
          <w:szCs w:val="24"/>
        </w:rPr>
      </w:pPr>
      <w:bookmarkStart w:id="136" w:name="_Toc20296883"/>
      <w:r>
        <w:rPr>
          <w:sz w:val="24"/>
          <w:szCs w:val="24"/>
        </w:rPr>
        <w:t>5.9. Monitorowanie efektów realizacji „Programu…”</w:t>
      </w:r>
      <w:bookmarkEnd w:id="136"/>
      <w:r>
        <w:rPr>
          <w:sz w:val="24"/>
          <w:szCs w:val="24"/>
        </w:rPr>
        <w:t xml:space="preserve"> </w:t>
      </w:r>
    </w:p>
    <w:p>
      <w:pPr>
        <w:pStyle w:val="Normal"/>
        <w:spacing w:lineRule="auto" w:line="360"/>
        <w:ind w:firstLine="708"/>
        <w:rPr>
          <w:rFonts w:ascii="Arial" w:hAnsi="Arial" w:cs="Arial"/>
        </w:rPr>
      </w:pPr>
      <w:r>
        <w:rPr>
          <w:rFonts w:cs="Arial" w:ascii="Arial" w:hAnsi="Arial"/>
        </w:rPr>
        <w:t xml:space="preserve">W zamieszczonej tabeli zestawiono wskaźniki proponowane do monitorowania efektów „Programu…”. Zakłada się, co dwa lata będą sporządzone raporty z  działań realizowanych </w:t>
        <w:br/>
        <w:t>w ramach „Programu…”.</w:t>
      </w:r>
    </w:p>
    <w:p>
      <w:pPr>
        <w:pStyle w:val="Caption"/>
        <w:rPr>
          <w:rFonts w:cs="Arial"/>
          <w:sz w:val="20"/>
          <w:szCs w:val="20"/>
        </w:rPr>
      </w:pPr>
      <w:bookmarkStart w:id="137" w:name="_Toc19787612"/>
      <w:r>
        <w:rPr>
          <w:sz w:val="20"/>
          <w:szCs w:val="20"/>
        </w:rPr>
        <w:t xml:space="preserve">Tabela </w:t>
      </w:r>
      <w:r>
        <w:rPr>
          <w:sz w:val="20"/>
          <w:szCs w:val="20"/>
        </w:rPr>
        <w:fldChar w:fldCharType="begin"/>
      </w:r>
      <w:r>
        <w:rPr>
          <w:sz w:val="20"/>
          <w:szCs w:val="20"/>
        </w:rPr>
        <w:instrText> SEQ Tabela \* ARABIC </w:instrText>
      </w:r>
      <w:r>
        <w:rPr>
          <w:sz w:val="20"/>
          <w:szCs w:val="20"/>
        </w:rPr>
        <w:fldChar w:fldCharType="separate"/>
      </w:r>
      <w:r>
        <w:rPr>
          <w:sz w:val="20"/>
          <w:szCs w:val="20"/>
        </w:rPr>
        <w:t>7</w:t>
      </w:r>
      <w:r>
        <w:rPr>
          <w:sz w:val="20"/>
          <w:szCs w:val="20"/>
        </w:rPr>
        <w:fldChar w:fldCharType="end"/>
      </w:r>
      <w:r>
        <w:rPr>
          <w:sz w:val="20"/>
          <w:szCs w:val="20"/>
        </w:rPr>
        <w:t xml:space="preserve"> Proponowane wskaźniki monitoringu „Programu…”</w:t>
      </w:r>
      <w:bookmarkEnd w:id="137"/>
    </w:p>
    <w:tbl>
      <w:tblPr>
        <w:tblW w:w="9288" w:type="dxa"/>
        <w:jc w:val="left"/>
        <w:tblInd w:w="0" w:type="dxa"/>
        <w:tblBorders>
          <w:top w:val="single" w:sz="8" w:space="0" w:color="403152"/>
          <w:left w:val="single" w:sz="8" w:space="0" w:color="403152"/>
          <w:bottom w:val="single" w:sz="8" w:space="0" w:color="403152"/>
          <w:right w:val="single" w:sz="8" w:space="0" w:color="403152"/>
          <w:insideH w:val="single" w:sz="8" w:space="0" w:color="403152"/>
          <w:insideV w:val="single" w:sz="8" w:space="0" w:color="403152"/>
        </w:tblBorders>
        <w:tblCellMar>
          <w:top w:w="0" w:type="dxa"/>
          <w:left w:w="107" w:type="dxa"/>
          <w:bottom w:w="0" w:type="dxa"/>
          <w:right w:w="108" w:type="dxa"/>
        </w:tblCellMar>
        <w:tblLook w:firstRow="1" w:noVBand="0" w:lastRow="0" w:firstColumn="1" w:lastColumn="1" w:noHBand="0" w:val="01a0"/>
      </w:tblPr>
      <w:tblGrid>
        <w:gridCol w:w="648"/>
        <w:gridCol w:w="6831"/>
        <w:gridCol w:w="1809"/>
      </w:tblGrid>
      <w:tr>
        <w:trPr/>
        <w:tc>
          <w:tcPr>
            <w:tcW w:w="648"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color="auto" w:fill="00B050" w:val="clear"/>
          </w:tcPr>
          <w:p>
            <w:pPr>
              <w:pStyle w:val="Normal"/>
              <w:spacing w:lineRule="auto" w:line="360" w:before="120" w:after="120"/>
              <w:jc w:val="center"/>
              <w:rPr>
                <w:rFonts w:ascii="Arial" w:hAnsi="Arial" w:cs="Arial"/>
                <w:b/>
                <w:b/>
                <w:bCs/>
                <w:color w:val="FFFFFF"/>
                <w:sz w:val="20"/>
                <w:szCs w:val="20"/>
              </w:rPr>
            </w:pPr>
            <w:r>
              <w:rPr>
                <w:rFonts w:cs="Arial" w:ascii="Arial" w:hAnsi="Arial"/>
                <w:b/>
                <w:bCs/>
                <w:color w:val="FFFFFF"/>
                <w:sz w:val="20"/>
                <w:szCs w:val="20"/>
              </w:rPr>
              <w:t>Lp.</w:t>
            </w:r>
          </w:p>
        </w:tc>
        <w:tc>
          <w:tcPr>
            <w:tcW w:w="6831"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color="auto" w:fill="00B050" w:val="clear"/>
            <w:vAlign w:val="center"/>
          </w:tcPr>
          <w:p>
            <w:pPr>
              <w:pStyle w:val="Normal"/>
              <w:spacing w:lineRule="auto" w:line="360" w:before="120" w:after="120"/>
              <w:jc w:val="center"/>
              <w:rPr>
                <w:rFonts w:ascii="Arial" w:hAnsi="Arial" w:cs="Arial"/>
                <w:b/>
                <w:b/>
                <w:bCs/>
                <w:color w:val="FFFFFF"/>
                <w:sz w:val="20"/>
                <w:szCs w:val="20"/>
              </w:rPr>
            </w:pPr>
            <w:r>
              <w:rPr>
                <w:rFonts w:cs="Arial" w:ascii="Arial" w:hAnsi="Arial"/>
                <w:b/>
                <w:bCs/>
                <w:color w:val="FFFFFF"/>
                <w:sz w:val="20"/>
                <w:szCs w:val="20"/>
              </w:rPr>
              <w:t>Wskaźniki monitoringu</w:t>
            </w:r>
          </w:p>
        </w:tc>
        <w:tc>
          <w:tcPr>
            <w:tcW w:w="1809"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color="auto" w:fill="00B050" w:val="clear"/>
            <w:vAlign w:val="center"/>
          </w:tcPr>
          <w:p>
            <w:pPr>
              <w:pStyle w:val="Normal"/>
              <w:spacing w:lineRule="auto" w:line="360" w:before="120" w:after="120"/>
              <w:jc w:val="center"/>
              <w:rPr>
                <w:rFonts w:ascii="Arial" w:hAnsi="Arial" w:cs="Arial"/>
                <w:b/>
                <w:b/>
                <w:bCs/>
                <w:color w:val="FFFFFF"/>
                <w:sz w:val="20"/>
                <w:szCs w:val="20"/>
              </w:rPr>
            </w:pPr>
            <w:r>
              <w:rPr>
                <w:rFonts w:cs="Arial" w:ascii="Arial" w:hAnsi="Arial"/>
                <w:b/>
                <w:bCs/>
                <w:color w:val="FFFFFF"/>
                <w:sz w:val="20"/>
                <w:szCs w:val="20"/>
              </w:rPr>
              <w:t>Jednostka miary</w:t>
            </w:r>
          </w:p>
        </w:tc>
      </w:tr>
      <w:tr>
        <w:trPr>
          <w:trHeight w:val="620" w:hRule="atLeast"/>
        </w:trPr>
        <w:tc>
          <w:tcPr>
            <w:tcW w:w="648"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lineRule="auto" w:line="360" w:before="120" w:after="120"/>
              <w:jc w:val="center"/>
              <w:rPr>
                <w:rFonts w:ascii="Arial" w:hAnsi="Arial" w:cs="Arial"/>
                <w:b/>
                <w:b/>
                <w:bCs/>
                <w:sz w:val="20"/>
                <w:szCs w:val="20"/>
              </w:rPr>
            </w:pPr>
            <w:r>
              <w:rPr>
                <w:rFonts w:cs="Arial" w:ascii="Arial" w:hAnsi="Arial"/>
                <w:b/>
                <w:bCs/>
                <w:sz w:val="20"/>
                <w:szCs w:val="20"/>
              </w:rPr>
              <w:t>1.</w:t>
            </w:r>
          </w:p>
        </w:tc>
        <w:tc>
          <w:tcPr>
            <w:tcW w:w="6831"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before="120" w:after="120"/>
              <w:rPr>
                <w:rFonts w:ascii="Arial" w:hAnsi="Arial" w:cs="Arial"/>
                <w:sz w:val="20"/>
                <w:szCs w:val="20"/>
              </w:rPr>
            </w:pPr>
            <w:r>
              <w:rPr>
                <w:rFonts w:cs="Arial" w:ascii="Arial" w:hAnsi="Arial"/>
                <w:sz w:val="20"/>
                <w:szCs w:val="20"/>
              </w:rPr>
              <w:t>Ilość odpadów zawierających azbest w przeliczeniu na 1 km</w:t>
            </w:r>
            <w:r>
              <w:rPr>
                <w:rFonts w:cs="Arial" w:ascii="Arial" w:hAnsi="Arial"/>
                <w:sz w:val="20"/>
                <w:szCs w:val="20"/>
                <w:vertAlign w:val="superscript"/>
              </w:rPr>
              <w:t>2</w:t>
            </w:r>
            <w:r>
              <w:rPr>
                <w:rFonts w:cs="Arial" w:ascii="Arial" w:hAnsi="Arial"/>
                <w:sz w:val="20"/>
                <w:szCs w:val="20"/>
              </w:rPr>
              <w:t xml:space="preserve"> powierzchni gminy przed rozpoczęciem realizacji „Programu….”</w:t>
            </w:r>
          </w:p>
        </w:tc>
        <w:tc>
          <w:tcPr>
            <w:tcW w:w="1809"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lineRule="auto" w:line="360" w:before="120" w:after="120"/>
              <w:jc w:val="center"/>
              <w:rPr>
                <w:rFonts w:ascii="Arial" w:hAnsi="Arial" w:cs="Arial"/>
                <w:b/>
                <w:b/>
                <w:bCs/>
                <w:sz w:val="20"/>
                <w:szCs w:val="20"/>
              </w:rPr>
            </w:pPr>
            <w:r>
              <w:rPr>
                <w:rFonts w:cs="Arial" w:ascii="Arial" w:hAnsi="Arial"/>
                <w:b/>
                <w:bCs/>
                <w:sz w:val="20"/>
                <w:szCs w:val="20"/>
              </w:rPr>
              <w:t>Mg/rok</w:t>
            </w:r>
          </w:p>
        </w:tc>
      </w:tr>
      <w:tr>
        <w:trPr/>
        <w:tc>
          <w:tcPr>
            <w:tcW w:w="648"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lineRule="auto" w:line="360" w:before="120" w:after="120"/>
              <w:jc w:val="center"/>
              <w:rPr>
                <w:rFonts w:ascii="Arial" w:hAnsi="Arial" w:cs="Arial"/>
                <w:b/>
                <w:b/>
                <w:bCs/>
                <w:sz w:val="20"/>
                <w:szCs w:val="20"/>
              </w:rPr>
            </w:pPr>
            <w:r>
              <w:rPr>
                <w:rFonts w:cs="Arial" w:ascii="Arial" w:hAnsi="Arial"/>
                <w:b/>
                <w:bCs/>
                <w:sz w:val="20"/>
                <w:szCs w:val="20"/>
              </w:rPr>
              <w:t>2.</w:t>
            </w:r>
          </w:p>
        </w:tc>
        <w:tc>
          <w:tcPr>
            <w:tcW w:w="6831"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before="120" w:after="120"/>
              <w:rPr>
                <w:rFonts w:ascii="Arial" w:hAnsi="Arial" w:cs="Arial"/>
                <w:sz w:val="20"/>
                <w:szCs w:val="20"/>
              </w:rPr>
            </w:pPr>
            <w:r>
              <w:rPr>
                <w:rFonts w:cs="Arial" w:ascii="Arial" w:hAnsi="Arial"/>
                <w:sz w:val="20"/>
                <w:szCs w:val="20"/>
              </w:rPr>
              <w:t>Ilość odpadów zawierających azbest w przeliczeniu na 1 km</w:t>
            </w:r>
            <w:r>
              <w:rPr>
                <w:rFonts w:cs="Arial" w:ascii="Arial" w:hAnsi="Arial"/>
                <w:sz w:val="20"/>
                <w:szCs w:val="20"/>
                <w:vertAlign w:val="superscript"/>
              </w:rPr>
              <w:t>2</w:t>
            </w:r>
            <w:r>
              <w:rPr>
                <w:rFonts w:cs="Arial" w:ascii="Arial" w:hAnsi="Arial"/>
                <w:sz w:val="20"/>
                <w:szCs w:val="20"/>
              </w:rPr>
              <w:t xml:space="preserve"> powierzchni gminy w kolejnych latach realizacji „Programu…”</w:t>
            </w:r>
          </w:p>
        </w:tc>
        <w:tc>
          <w:tcPr>
            <w:tcW w:w="1809"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lineRule="auto" w:line="360" w:before="120" w:after="120"/>
              <w:jc w:val="center"/>
              <w:rPr>
                <w:rFonts w:ascii="Arial" w:hAnsi="Arial" w:cs="Arial"/>
                <w:b/>
                <w:b/>
                <w:bCs/>
                <w:sz w:val="20"/>
                <w:szCs w:val="20"/>
              </w:rPr>
            </w:pPr>
            <w:r>
              <w:rPr>
                <w:rFonts w:cs="Arial" w:ascii="Arial" w:hAnsi="Arial"/>
                <w:b/>
                <w:bCs/>
                <w:sz w:val="20"/>
                <w:szCs w:val="20"/>
              </w:rPr>
              <w:t>Mg/rok</w:t>
            </w:r>
          </w:p>
        </w:tc>
      </w:tr>
      <w:tr>
        <w:trPr/>
        <w:tc>
          <w:tcPr>
            <w:tcW w:w="648"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lineRule="auto" w:line="360" w:before="120" w:after="120"/>
              <w:jc w:val="center"/>
              <w:rPr>
                <w:rFonts w:ascii="Arial" w:hAnsi="Arial" w:cs="Arial"/>
                <w:b/>
                <w:b/>
                <w:bCs/>
                <w:sz w:val="20"/>
                <w:szCs w:val="20"/>
              </w:rPr>
            </w:pPr>
            <w:r>
              <w:rPr>
                <w:rFonts w:cs="Arial" w:ascii="Arial" w:hAnsi="Arial"/>
                <w:b/>
                <w:bCs/>
                <w:sz w:val="20"/>
                <w:szCs w:val="20"/>
              </w:rPr>
              <w:t>3.</w:t>
            </w:r>
          </w:p>
        </w:tc>
        <w:tc>
          <w:tcPr>
            <w:tcW w:w="6831"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before="120" w:after="120"/>
              <w:rPr>
                <w:rFonts w:ascii="Arial" w:hAnsi="Arial" w:cs="Arial"/>
                <w:sz w:val="20"/>
                <w:szCs w:val="20"/>
              </w:rPr>
            </w:pPr>
            <w:r>
              <w:rPr>
                <w:rFonts w:cs="Arial" w:ascii="Arial" w:hAnsi="Arial"/>
                <w:sz w:val="20"/>
                <w:szCs w:val="20"/>
              </w:rPr>
              <w:t>Procentowa ilość usuniętych odpadów zawierających azbest w stosunku do ilości zinwentaryzowanej przed realizacją „Programu…”</w:t>
            </w:r>
          </w:p>
        </w:tc>
        <w:tc>
          <w:tcPr>
            <w:tcW w:w="1809"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lineRule="auto" w:line="360" w:before="120" w:after="120"/>
              <w:jc w:val="center"/>
              <w:rPr>
                <w:rFonts w:ascii="Arial" w:hAnsi="Arial" w:cs="Arial"/>
                <w:b/>
                <w:b/>
                <w:bCs/>
                <w:sz w:val="20"/>
                <w:szCs w:val="20"/>
              </w:rPr>
            </w:pPr>
            <w:r>
              <w:rPr>
                <w:rFonts w:cs="Arial" w:ascii="Arial" w:hAnsi="Arial"/>
                <w:b/>
                <w:bCs/>
                <w:sz w:val="20"/>
                <w:szCs w:val="20"/>
              </w:rPr>
              <w:t>%</w:t>
            </w:r>
          </w:p>
        </w:tc>
      </w:tr>
      <w:tr>
        <w:trPr/>
        <w:tc>
          <w:tcPr>
            <w:tcW w:w="648"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lineRule="auto" w:line="360" w:before="120" w:after="120"/>
              <w:jc w:val="center"/>
              <w:rPr>
                <w:rFonts w:ascii="Arial" w:hAnsi="Arial" w:cs="Arial"/>
                <w:b/>
                <w:b/>
                <w:bCs/>
                <w:sz w:val="20"/>
                <w:szCs w:val="20"/>
              </w:rPr>
            </w:pPr>
            <w:r>
              <w:rPr>
                <w:rFonts w:cs="Arial" w:ascii="Arial" w:hAnsi="Arial"/>
                <w:b/>
                <w:bCs/>
                <w:sz w:val="20"/>
                <w:szCs w:val="20"/>
              </w:rPr>
              <w:t>4.</w:t>
            </w:r>
          </w:p>
        </w:tc>
        <w:tc>
          <w:tcPr>
            <w:tcW w:w="6831"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bottom"/>
          </w:tcPr>
          <w:p>
            <w:pPr>
              <w:pStyle w:val="Normal"/>
              <w:spacing w:before="120" w:after="120"/>
              <w:rPr>
                <w:rFonts w:ascii="Arial" w:hAnsi="Arial" w:cs="Arial"/>
                <w:sz w:val="20"/>
                <w:szCs w:val="20"/>
              </w:rPr>
            </w:pPr>
            <w:r>
              <w:rPr>
                <w:rFonts w:cs="Arial" w:ascii="Arial" w:hAnsi="Arial"/>
                <w:sz w:val="20"/>
                <w:szCs w:val="20"/>
              </w:rPr>
              <w:t>Procentowa ilość usuniętych odpadów zawierających azbest w stosunku do ilości zinwentaryzowanej w poprzednim roku realizacji Programu</w:t>
            </w:r>
          </w:p>
        </w:tc>
        <w:tc>
          <w:tcPr>
            <w:tcW w:w="1809"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lineRule="auto" w:line="360" w:before="120" w:after="120"/>
              <w:jc w:val="center"/>
              <w:rPr>
                <w:rFonts w:ascii="Arial" w:hAnsi="Arial" w:cs="Arial"/>
                <w:b/>
                <w:b/>
                <w:bCs/>
                <w:sz w:val="20"/>
                <w:szCs w:val="20"/>
              </w:rPr>
            </w:pPr>
            <w:r>
              <w:rPr>
                <w:rFonts w:cs="Arial" w:ascii="Arial" w:hAnsi="Arial"/>
                <w:b/>
                <w:bCs/>
                <w:sz w:val="20"/>
                <w:szCs w:val="20"/>
              </w:rPr>
              <w:t>%</w:t>
            </w:r>
          </w:p>
        </w:tc>
      </w:tr>
      <w:tr>
        <w:trPr/>
        <w:tc>
          <w:tcPr>
            <w:tcW w:w="648"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lineRule="auto" w:line="360" w:before="120" w:after="120"/>
              <w:jc w:val="center"/>
              <w:rPr>
                <w:rFonts w:ascii="Arial" w:hAnsi="Arial" w:cs="Arial"/>
                <w:b/>
                <w:b/>
                <w:bCs/>
                <w:sz w:val="20"/>
                <w:szCs w:val="20"/>
              </w:rPr>
            </w:pPr>
            <w:r>
              <w:rPr>
                <w:rFonts w:cs="Arial" w:ascii="Arial" w:hAnsi="Arial"/>
                <w:b/>
                <w:bCs/>
                <w:sz w:val="20"/>
                <w:szCs w:val="20"/>
              </w:rPr>
              <w:t>5.</w:t>
            </w:r>
          </w:p>
        </w:tc>
        <w:tc>
          <w:tcPr>
            <w:tcW w:w="6831"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before="120" w:after="120"/>
              <w:rPr>
                <w:rFonts w:ascii="Arial" w:hAnsi="Arial" w:cs="Arial"/>
                <w:sz w:val="20"/>
                <w:szCs w:val="20"/>
              </w:rPr>
            </w:pPr>
            <w:r>
              <w:rPr>
                <w:rFonts w:cs="Arial" w:ascii="Arial" w:hAnsi="Arial"/>
                <w:sz w:val="20"/>
                <w:szCs w:val="20"/>
              </w:rPr>
              <w:t>Nakłady poniesione na usunięcie odpadów zawierających azbest</w:t>
            </w:r>
          </w:p>
        </w:tc>
        <w:tc>
          <w:tcPr>
            <w:tcW w:w="1809"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lineRule="auto" w:line="360" w:before="120" w:after="120"/>
              <w:jc w:val="center"/>
              <w:rPr>
                <w:rFonts w:ascii="Arial" w:hAnsi="Arial" w:cs="Arial"/>
                <w:b/>
                <w:b/>
                <w:bCs/>
                <w:sz w:val="20"/>
                <w:szCs w:val="20"/>
              </w:rPr>
            </w:pPr>
            <w:r>
              <w:rPr>
                <w:rFonts w:cs="Arial" w:ascii="Arial" w:hAnsi="Arial"/>
                <w:b/>
                <w:bCs/>
                <w:sz w:val="20"/>
                <w:szCs w:val="20"/>
              </w:rPr>
              <w:t>PLN/rok</w:t>
            </w:r>
          </w:p>
        </w:tc>
      </w:tr>
      <w:tr>
        <w:trPr/>
        <w:tc>
          <w:tcPr>
            <w:tcW w:w="648"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lineRule="auto" w:line="360" w:before="120" w:after="120"/>
              <w:jc w:val="center"/>
              <w:rPr>
                <w:rFonts w:ascii="Arial" w:hAnsi="Arial" w:cs="Arial"/>
                <w:b/>
                <w:b/>
                <w:bCs/>
                <w:sz w:val="20"/>
                <w:szCs w:val="20"/>
              </w:rPr>
            </w:pPr>
            <w:r>
              <w:rPr>
                <w:rFonts w:cs="Arial" w:ascii="Arial" w:hAnsi="Arial"/>
                <w:b/>
                <w:bCs/>
                <w:sz w:val="20"/>
                <w:szCs w:val="20"/>
              </w:rPr>
              <w:t>6.</w:t>
            </w:r>
          </w:p>
        </w:tc>
        <w:tc>
          <w:tcPr>
            <w:tcW w:w="6831"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lineRule="auto" w:line="360" w:before="120" w:after="120"/>
              <w:rPr>
                <w:rFonts w:ascii="Arial" w:hAnsi="Arial" w:cs="Arial"/>
                <w:sz w:val="20"/>
                <w:szCs w:val="20"/>
              </w:rPr>
            </w:pPr>
            <w:r>
              <w:rPr>
                <w:rFonts w:cs="Arial" w:ascii="Arial" w:hAnsi="Arial"/>
                <w:sz w:val="20"/>
                <w:szCs w:val="20"/>
              </w:rPr>
              <w:t>Ilość dzikich wysypisk odpadów zawierających azbest</w:t>
            </w:r>
          </w:p>
        </w:tc>
        <w:tc>
          <w:tcPr>
            <w:tcW w:w="1809" w:type="dxa"/>
            <w:tcBorders>
              <w:top w:val="single" w:sz="8" w:space="0" w:color="403152"/>
              <w:left w:val="single" w:sz="8" w:space="0" w:color="403152"/>
              <w:bottom w:val="single" w:sz="8" w:space="0" w:color="403152"/>
              <w:right w:val="single" w:sz="8" w:space="0" w:color="403152"/>
              <w:insideH w:val="single" w:sz="8" w:space="0" w:color="403152"/>
              <w:insideV w:val="single" w:sz="8" w:space="0" w:color="403152"/>
            </w:tcBorders>
            <w:shd w:fill="auto" w:val="clear"/>
            <w:vAlign w:val="center"/>
          </w:tcPr>
          <w:p>
            <w:pPr>
              <w:pStyle w:val="Normal"/>
              <w:spacing w:lineRule="auto" w:line="360" w:before="120" w:after="120"/>
              <w:jc w:val="center"/>
              <w:rPr>
                <w:rFonts w:ascii="Arial" w:hAnsi="Arial" w:cs="Arial"/>
                <w:b/>
                <w:b/>
                <w:bCs/>
                <w:sz w:val="20"/>
                <w:szCs w:val="20"/>
              </w:rPr>
            </w:pPr>
            <w:r>
              <w:rPr>
                <w:rFonts w:cs="Arial" w:ascii="Arial" w:hAnsi="Arial"/>
                <w:b/>
                <w:bCs/>
                <w:sz w:val="20"/>
                <w:szCs w:val="20"/>
              </w:rPr>
              <w:t>szt.</w:t>
            </w:r>
          </w:p>
        </w:tc>
      </w:tr>
    </w:tbl>
    <w:p>
      <w:pPr>
        <w:pStyle w:val="Normal"/>
        <w:rPr/>
      </w:pPr>
      <w:r>
        <w:rPr/>
      </w:r>
    </w:p>
    <w:p>
      <w:pPr>
        <w:pStyle w:val="Normal"/>
        <w:rPr/>
      </w:pPr>
      <w:r>
        <w:rPr/>
      </w:r>
    </w:p>
    <w:p>
      <w:pPr>
        <w:pStyle w:val="Normal"/>
        <w:rPr/>
      </w:pPr>
      <w:r>
        <w:rPr/>
      </w:r>
    </w:p>
    <w:p>
      <w:pPr>
        <w:pStyle w:val="Normal"/>
        <w:spacing w:lineRule="auto" w:line="240" w:before="0" w:after="0"/>
        <w:rPr/>
      </w:pPr>
      <w:r>
        <w:rPr/>
      </w:r>
      <w:r>
        <w:br w:type="page"/>
      </w:r>
    </w:p>
    <w:p>
      <w:pPr>
        <w:pStyle w:val="Nagwek1"/>
        <w:numPr>
          <w:ilvl w:val="1"/>
          <w:numId w:val="10"/>
        </w:numPr>
        <w:ind w:left="284" w:hanging="360"/>
        <w:rPr>
          <w:szCs w:val="22"/>
        </w:rPr>
      </w:pPr>
      <w:bookmarkStart w:id="138" w:name="_Toc20296884"/>
      <w:bookmarkStart w:id="139" w:name="_Toc327780821"/>
      <w:bookmarkStart w:id="140" w:name="_Toc330505326"/>
      <w:bookmarkStart w:id="141" w:name="_Toc331346086"/>
      <w:r>
        <w:rPr>
          <w:rStyle w:val="FontStyle116"/>
          <w:sz w:val="28"/>
        </w:rPr>
        <w:t>PODSUMOWANIE</w:t>
      </w:r>
      <w:bookmarkEnd w:id="138"/>
      <w:bookmarkEnd w:id="139"/>
      <w:bookmarkEnd w:id="140"/>
      <w:bookmarkEnd w:id="141"/>
    </w:p>
    <w:p>
      <w:pPr>
        <w:pStyle w:val="Normal"/>
        <w:spacing w:lineRule="auto" w:line="360"/>
        <w:ind w:firstLine="709"/>
        <w:jc w:val="both"/>
        <w:rPr>
          <w:rFonts w:ascii="Arial" w:hAnsi="Arial" w:cs="Arial"/>
          <w:bCs/>
          <w:color w:val="000000"/>
        </w:rPr>
      </w:pPr>
      <w:r>
        <w:rPr>
          <w:rFonts w:cs="Arial" w:ascii="Arial" w:hAnsi="Arial"/>
          <w:bCs/>
          <w:color w:val="000000"/>
        </w:rPr>
        <w:t xml:space="preserve">Głównym celem niniejszego opracowania pt. „Program usuwania azbestu dla Miasta i Gminy Mrocza” jest zaplanowanie usunięcia pozostałych na terenie gminy wyrobów azbestowych oraz ich bezpieczne unieszkodliwienie. </w:t>
      </w:r>
    </w:p>
    <w:p>
      <w:pPr>
        <w:pStyle w:val="Normal"/>
        <w:spacing w:lineRule="auto" w:line="360"/>
        <w:ind w:firstLine="708"/>
        <w:jc w:val="both"/>
        <w:rPr>
          <w:rFonts w:ascii="Arial" w:hAnsi="Arial" w:cs="Arial"/>
          <w:bCs/>
          <w:i/>
          <w:i/>
          <w:color w:val="000000"/>
        </w:rPr>
      </w:pPr>
      <w:r>
        <w:rPr>
          <w:rFonts w:cs="Arial" w:ascii="Arial" w:hAnsi="Arial"/>
          <w:color w:val="000000"/>
        </w:rPr>
        <w:t xml:space="preserve">W niniejszym „Programie…” zawarto informacje dotyczące właściwości azbestu, jak również określono harmonogram zadań do realizacji, szacując ich koszt w rozbiciu na lata. Określone w harmonogramie zadania uwzględniają rolę samorządu gminnego, samorządu powiatowego i innych jednostek w jego realizacji. </w:t>
      </w:r>
      <w:r>
        <w:rPr>
          <w:rFonts w:cs="Arial" w:ascii="Arial" w:hAnsi="Arial"/>
          <w:bCs/>
          <w:color w:val="000000"/>
        </w:rPr>
        <w:t>Proces usuwania wyrobów zawierających azbest powinien być zakończony do końca 2032 roku. Przyjęto harmonogram zgodny z „</w:t>
      </w:r>
      <w:r>
        <w:rPr>
          <w:rFonts w:cs="Arial" w:ascii="Arial" w:hAnsi="Arial"/>
          <w:bCs/>
          <w:i/>
          <w:color w:val="000000"/>
        </w:rPr>
        <w:t xml:space="preserve">Programem Oczyszczania Kraju z Azbestu na lata 2009 – 2032”. Zgodnie z założeniami „Programu…” </w:t>
      </w:r>
    </w:p>
    <w:p>
      <w:pPr>
        <w:pStyle w:val="Normal"/>
        <w:spacing w:lineRule="auto" w:line="360" w:before="0" w:after="0"/>
        <w:ind w:firstLine="709"/>
        <w:jc w:val="both"/>
        <w:rPr>
          <w:rFonts w:ascii="Arial" w:hAnsi="Arial" w:cs="Arial"/>
          <w:color w:val="000000"/>
        </w:rPr>
      </w:pPr>
      <w:r>
        <w:rPr>
          <w:rFonts w:cs="Arial" w:ascii="Arial" w:hAnsi="Arial"/>
          <w:color w:val="000000"/>
        </w:rPr>
        <w:t>Bardzo ważne jest zastosowanie się właścicieli i zarządców obiektów budowlanych</w:t>
        <w:br/>
        <w:t>do obowiązku prowadzenia okresowych kontroli i oceny stanu technicznego wyrobów zawierających azbest oraz przekazywania właściwym jednostkom danych o ilości, stanie</w:t>
        <w:br/>
        <w:t>i miejscu występowania azbestu. Pozwoli to na uzyskanie pełnej wiedzy na ten temat</w:t>
        <w:br/>
        <w:t xml:space="preserve">i podejmowanie przez jednostki samorządowe skutecznych działań mających na celu pomoc właścicielom obiektów w usuwaniu i unieszkodliwianiu azbestu. Istotna jest również świadomość przedsiębiorców wykonujących prace związane z usuwaniem wyrobów zawierających azbest. Wykonywanie tych prac wyłącznie przez wyspecjalizowane i uprawnione w tym zakresie firmy pozwoli zminimalizować zagrożenie wynikające z nieprawidłowego ich prowadzenia. Z tego względu jednym z głównych celów niniejszego „Programu…” jest przybliżenie jak najszerszym kręgom społeczeństwa problematyki bezpiecznej eksploatacji i usuwania wyrobów zawierających azbest. </w:t>
      </w:r>
    </w:p>
    <w:p>
      <w:pPr>
        <w:pStyle w:val="NormalWeb"/>
        <w:spacing w:lineRule="auto" w:line="360" w:beforeAutospacing="0" w:before="0" w:afterAutospacing="0" w:after="0"/>
        <w:jc w:val="both"/>
        <w:rPr>
          <w:rFonts w:ascii="Arial" w:hAnsi="Arial" w:cs="Arial"/>
          <w:sz w:val="22"/>
          <w:szCs w:val="22"/>
        </w:rPr>
      </w:pPr>
      <w:r>
        <w:rPr>
          <w:rFonts w:cs="Arial" w:ascii="Arial" w:hAnsi="Arial"/>
          <w:sz w:val="22"/>
          <w:szCs w:val="22"/>
        </w:rPr>
      </w:r>
    </w:p>
    <w:p>
      <w:pPr>
        <w:pStyle w:val="NormalWeb"/>
        <w:spacing w:lineRule="auto" w:line="360" w:beforeAutospacing="0" w:before="0" w:afterAutospacing="0" w:after="0"/>
        <w:ind w:firstLine="708"/>
        <w:jc w:val="both"/>
        <w:rPr>
          <w:rFonts w:ascii="Arial" w:hAnsi="Arial" w:cs="Arial"/>
          <w:sz w:val="22"/>
          <w:szCs w:val="22"/>
        </w:rPr>
      </w:pPr>
      <w:r>
        <w:rPr>
          <w:rFonts w:cs="Arial" w:ascii="Arial" w:hAnsi="Arial"/>
          <w:sz w:val="22"/>
          <w:szCs w:val="22"/>
        </w:rPr>
      </w:r>
    </w:p>
    <w:p>
      <w:pPr>
        <w:pStyle w:val="NormalWeb"/>
        <w:spacing w:lineRule="auto" w:line="360" w:beforeAutospacing="0" w:before="0" w:afterAutospacing="0" w:after="0"/>
        <w:ind w:firstLine="708"/>
        <w:jc w:val="both"/>
        <w:rPr>
          <w:rFonts w:ascii="Arial" w:hAnsi="Arial" w:cs="Arial"/>
          <w:sz w:val="22"/>
          <w:szCs w:val="22"/>
        </w:rPr>
      </w:pPr>
      <w:r>
        <w:rPr>
          <w:rFonts w:cs="Arial" w:ascii="Arial" w:hAnsi="Arial"/>
          <w:sz w:val="22"/>
          <w:szCs w:val="22"/>
        </w:rPr>
      </w:r>
    </w:p>
    <w:p>
      <w:pPr>
        <w:pStyle w:val="NormalWeb"/>
        <w:spacing w:lineRule="auto" w:line="360" w:beforeAutospacing="0" w:before="0" w:afterAutospacing="0" w:after="0"/>
        <w:ind w:firstLine="708"/>
        <w:jc w:val="both"/>
        <w:rPr>
          <w:rFonts w:ascii="Arial" w:hAnsi="Arial" w:cs="Arial"/>
          <w:sz w:val="22"/>
          <w:szCs w:val="22"/>
        </w:rPr>
      </w:pPr>
      <w:r>
        <w:rPr>
          <w:rFonts w:cs="Arial" w:ascii="Arial" w:hAnsi="Arial"/>
          <w:sz w:val="22"/>
          <w:szCs w:val="22"/>
        </w:rPr>
      </w:r>
    </w:p>
    <w:p>
      <w:pPr>
        <w:pStyle w:val="NormalWeb"/>
        <w:spacing w:lineRule="auto" w:line="360" w:beforeAutospacing="0" w:before="0" w:afterAutospacing="0" w:after="0"/>
        <w:ind w:firstLine="708"/>
        <w:jc w:val="both"/>
        <w:rPr>
          <w:rFonts w:ascii="Arial" w:hAnsi="Arial" w:cs="Arial"/>
          <w:sz w:val="22"/>
          <w:szCs w:val="22"/>
        </w:rPr>
      </w:pPr>
      <w:r>
        <w:rPr>
          <w:rFonts w:cs="Arial" w:ascii="Arial" w:hAnsi="Arial"/>
          <w:sz w:val="22"/>
          <w:szCs w:val="22"/>
        </w:rPr>
      </w:r>
    </w:p>
    <w:p>
      <w:pPr>
        <w:pStyle w:val="Normal"/>
        <w:spacing w:lineRule="auto" w:line="240" w:before="0" w:after="0"/>
        <w:rPr>
          <w:rFonts w:ascii="Arial" w:hAnsi="Arial" w:cs="Arial"/>
        </w:rPr>
      </w:pPr>
      <w:r>
        <w:rPr>
          <w:rFonts w:cs="Arial" w:ascii="Arial" w:hAnsi="Arial"/>
        </w:rPr>
      </w:r>
      <w:r>
        <w:br w:type="page"/>
      </w:r>
    </w:p>
    <w:p>
      <w:pPr>
        <w:pStyle w:val="NormalWeb"/>
        <w:spacing w:lineRule="auto" w:line="360" w:beforeAutospacing="0" w:before="0" w:afterAutospacing="0" w:after="0"/>
        <w:ind w:firstLine="708"/>
        <w:jc w:val="both"/>
        <w:rPr>
          <w:rFonts w:ascii="Arial" w:hAnsi="Arial" w:cs="Arial"/>
          <w:sz w:val="22"/>
          <w:szCs w:val="22"/>
        </w:rPr>
      </w:pPr>
      <w:r>
        <w:rPr>
          <w:rFonts w:cs="Arial" w:ascii="Arial" w:hAnsi="Arial"/>
          <w:sz w:val="22"/>
          <w:szCs w:val="22"/>
        </w:rPr>
      </w:r>
    </w:p>
    <w:p>
      <w:pPr>
        <w:pStyle w:val="NormalWeb"/>
        <w:spacing w:lineRule="auto" w:line="360" w:beforeAutospacing="0" w:before="0" w:afterAutospacing="0" w:after="0"/>
        <w:ind w:firstLine="708"/>
        <w:jc w:val="both"/>
        <w:rPr>
          <w:rFonts w:ascii="Arial" w:hAnsi="Arial" w:cs="Arial"/>
          <w:sz w:val="22"/>
          <w:szCs w:val="22"/>
        </w:rPr>
      </w:pPr>
      <w:r>
        <w:rPr>
          <w:rFonts w:cs="Arial" w:ascii="Arial" w:hAnsi="Arial"/>
          <w:sz w:val="22"/>
          <w:szCs w:val="22"/>
        </w:rPr>
      </w:r>
    </w:p>
    <w:p>
      <w:pPr>
        <w:pStyle w:val="NormalWeb"/>
        <w:spacing w:lineRule="auto" w:line="360" w:beforeAutospacing="0" w:before="0" w:afterAutospacing="0" w:after="0"/>
        <w:jc w:val="both"/>
        <w:rPr>
          <w:rFonts w:ascii="Arial" w:hAnsi="Arial" w:cs="Arial"/>
          <w:sz w:val="22"/>
          <w:szCs w:val="22"/>
        </w:rPr>
      </w:pPr>
      <w:r>
        <w:rPr>
          <w:rFonts w:cs="Arial" w:ascii="Arial" w:hAnsi="Arial"/>
          <w:sz w:val="22"/>
          <w:szCs w:val="22"/>
        </w:rPr>
      </w:r>
    </w:p>
    <w:p>
      <w:pPr>
        <w:pStyle w:val="Nagwek1"/>
        <w:rPr/>
      </w:pPr>
      <w:bookmarkStart w:id="142" w:name="_Toc20296885"/>
      <w:bookmarkStart w:id="143" w:name="_Toc278442765"/>
      <w:r>
        <w:rPr/>
        <w:t>7. Z</w:t>
      </w:r>
      <w:bookmarkEnd w:id="143"/>
      <w:r>
        <w:rPr/>
        <w:t>AŁĄCZNIKI</w:t>
      </w:r>
      <w:bookmarkEnd w:id="142"/>
    </w:p>
    <w:p>
      <w:pPr>
        <w:pStyle w:val="Normal"/>
        <w:rPr/>
      </w:pPr>
      <w:r>
        <w:rPr/>
      </w:r>
    </w:p>
    <w:p>
      <w:pPr>
        <w:pStyle w:val="Normal"/>
        <w:spacing w:lineRule="auto" w:line="360"/>
        <w:jc w:val="both"/>
        <w:rPr>
          <w:rFonts w:ascii="Arial" w:hAnsi="Arial" w:cs="Arial"/>
        </w:rPr>
      </w:pPr>
      <w:bookmarkStart w:id="144" w:name="_Toc42585069"/>
      <w:r>
        <w:rPr>
          <w:rFonts w:cs="Arial" w:ascii="Arial" w:hAnsi="Arial"/>
          <w:b/>
        </w:rPr>
        <w:t>Załącznik nr 1</w:t>
      </w:r>
      <w:r>
        <w:rPr>
          <w:rFonts w:cs="Arial" w:ascii="Arial" w:hAnsi="Arial"/>
        </w:rPr>
        <w:t xml:space="preserve"> - Ocena stanu i możliwości bezpiecznego użytkowania wyrobów zawierających azbest</w:t>
      </w:r>
      <w:bookmarkEnd w:id="144"/>
      <w:r>
        <w:rPr>
          <w:rFonts w:cs="Arial" w:ascii="Arial" w:hAnsi="Arial"/>
        </w:rPr>
        <w:t>.</w:t>
      </w:r>
    </w:p>
    <w:p>
      <w:pPr>
        <w:pStyle w:val="Normal"/>
        <w:spacing w:lineRule="auto" w:line="360"/>
        <w:jc w:val="both"/>
        <w:rPr>
          <w:rFonts w:ascii="Arial" w:hAnsi="Arial" w:cs="Arial"/>
        </w:rPr>
      </w:pPr>
      <w:bookmarkStart w:id="145" w:name="_Toc42585070"/>
      <w:r>
        <w:rPr>
          <w:rFonts w:cs="Arial" w:ascii="Arial" w:hAnsi="Arial"/>
          <w:b/>
        </w:rPr>
        <w:t>Załącznik nr 2</w:t>
      </w:r>
      <w:r>
        <w:rPr>
          <w:rFonts w:cs="Arial" w:ascii="Arial" w:hAnsi="Arial"/>
        </w:rPr>
        <w:t xml:space="preserve"> - Informacja o wyrobach zawierających azbest i miejscu ich wykorzystania</w:t>
      </w:r>
      <w:bookmarkEnd w:id="145"/>
      <w:r>
        <w:rPr>
          <w:rFonts w:cs="Arial" w:ascii="Arial" w:hAnsi="Arial"/>
        </w:rPr>
        <w:t>.</w:t>
      </w:r>
    </w:p>
    <w:p>
      <w:pPr>
        <w:pStyle w:val="Normal"/>
        <w:spacing w:lineRule="auto" w:line="360"/>
        <w:jc w:val="both"/>
        <w:rPr>
          <w:rFonts w:ascii="Arial" w:hAnsi="Arial" w:cs="Arial"/>
        </w:rPr>
      </w:pPr>
      <w:r>
        <w:rPr>
          <w:rFonts w:cs="Arial" w:ascii="Arial" w:hAnsi="Arial"/>
          <w:b/>
        </w:rPr>
        <w:t>Załącznik nr 3</w:t>
      </w:r>
      <w:r>
        <w:rPr>
          <w:rFonts w:cs="Arial" w:ascii="Arial" w:hAnsi="Arial"/>
        </w:rPr>
        <w:t xml:space="preserve"> – Książeczka badań profilaktycznych.</w:t>
      </w:r>
    </w:p>
    <w:p>
      <w:pPr>
        <w:pStyle w:val="Normal"/>
        <w:spacing w:lineRule="auto" w:line="360"/>
        <w:jc w:val="both"/>
        <w:rPr>
          <w:rFonts w:ascii="Arial" w:hAnsi="Arial" w:cs="Arial"/>
        </w:rPr>
      </w:pPr>
      <w:r>
        <w:rPr>
          <w:rFonts w:cs="Arial" w:ascii="Arial" w:hAnsi="Arial"/>
          <w:b/>
        </w:rPr>
        <w:t xml:space="preserve">Załącznik nr 4 </w:t>
      </w:r>
      <w:r>
        <w:rPr>
          <w:rFonts w:cs="Arial" w:ascii="Arial" w:hAnsi="Arial"/>
        </w:rPr>
        <w:t>- Wzór oznakowania dla miejsc zawierających azbest lub wyroby zawierające azbest.</w:t>
      </w:r>
      <w:bookmarkStart w:id="146" w:name="_Toc42585072"/>
      <w:bookmarkEnd w:id="146"/>
    </w:p>
    <w:p>
      <w:pPr>
        <w:pStyle w:val="Normal"/>
        <w:spacing w:lineRule="auto" w:line="360"/>
        <w:jc w:val="both"/>
        <w:rPr>
          <w:rFonts w:ascii="Arial" w:hAnsi="Arial" w:cs="Arial"/>
        </w:rPr>
      </w:pPr>
      <w:r>
        <w:rPr>
          <w:rFonts w:cs="Arial" w:ascii="Arial" w:hAnsi="Arial"/>
          <w:b/>
        </w:rPr>
        <w:t>Załącznik nr 5</w:t>
      </w:r>
      <w:r>
        <w:rPr>
          <w:rFonts w:cs="Arial" w:ascii="Arial" w:hAnsi="Arial"/>
        </w:rPr>
        <w:t xml:space="preserve"> - Wzór "Karty Ewidencji Odpadu".</w:t>
      </w:r>
    </w:p>
    <w:p>
      <w:pPr>
        <w:pStyle w:val="Normal"/>
        <w:spacing w:lineRule="auto" w:line="360"/>
        <w:jc w:val="both"/>
        <w:rPr>
          <w:rFonts w:ascii="Arial" w:hAnsi="Arial" w:cs="Arial"/>
        </w:rPr>
      </w:pPr>
      <w:bookmarkStart w:id="147" w:name="_Toc42585073"/>
      <w:r>
        <w:rPr>
          <w:rFonts w:cs="Arial" w:ascii="Arial" w:hAnsi="Arial"/>
          <w:b/>
        </w:rPr>
        <w:t>Załącznik nr 6</w:t>
      </w:r>
      <w:r>
        <w:rPr>
          <w:rFonts w:cs="Arial" w:ascii="Arial" w:hAnsi="Arial"/>
        </w:rPr>
        <w:t xml:space="preserve"> - Wzór "Karty Przekazania Odpadu</w:t>
      </w:r>
      <w:bookmarkEnd w:id="147"/>
      <w:r>
        <w:rPr>
          <w:rFonts w:cs="Arial" w:ascii="Arial" w:hAnsi="Arial"/>
        </w:rPr>
        <w:t>".</w:t>
      </w:r>
    </w:p>
    <w:p>
      <w:pPr>
        <w:pStyle w:val="Normal"/>
        <w:spacing w:lineRule="auto" w:line="360"/>
        <w:jc w:val="both"/>
        <w:rPr>
          <w:rFonts w:ascii="Arial" w:hAnsi="Arial" w:cs="Arial"/>
        </w:rPr>
      </w:pPr>
      <w:r>
        <w:rPr>
          <w:rFonts w:cs="Arial" w:ascii="Arial" w:hAnsi="Arial"/>
          <w:b/>
        </w:rPr>
        <w:t>Załącznik nr 7</w:t>
      </w:r>
      <w:r>
        <w:rPr>
          <w:rFonts w:cs="Arial" w:ascii="Arial" w:hAnsi="Arial"/>
        </w:rPr>
        <w:t xml:space="preserve"> - Zgłoszenie przystąpienia do prac polegających na zabezpieczeniu/usunięciu* wyrobów zawierających azbest.</w:t>
      </w:r>
    </w:p>
    <w:p>
      <w:pPr>
        <w:pStyle w:val="Normal"/>
        <w:spacing w:lineRule="auto" w:line="360"/>
        <w:rPr>
          <w:rFonts w:ascii="Arial" w:hAnsi="Arial" w:cs="Arial"/>
        </w:rPr>
      </w:pPr>
      <w:r>
        <w:rPr>
          <w:rFonts w:cs="Arial" w:ascii="Arial" w:hAnsi="Arial"/>
          <w:b/>
        </w:rPr>
        <w:t>Załącznik nr 8</w:t>
      </w:r>
      <w:r>
        <w:rPr>
          <w:rFonts w:cs="Arial" w:ascii="Arial" w:hAnsi="Arial"/>
        </w:rPr>
        <w:t xml:space="preserve"> - Nazwy wyrobów azbestowych i kody odpowiadających im odpadów wraz z przelicznikami.</w:t>
      </w:r>
    </w:p>
    <w:p>
      <w:pPr>
        <w:pStyle w:val="Normal"/>
        <w:rPr>
          <w:rFonts w:ascii="Arial" w:hAnsi="Arial" w:cs="Arial"/>
          <w:b/>
          <w:b/>
        </w:rPr>
      </w:pPr>
      <w:r>
        <w:rPr>
          <w:rFonts w:cs="Arial" w:ascii="Arial" w:hAnsi="Arial"/>
          <w:b/>
        </w:rPr>
      </w:r>
    </w:p>
    <w:p>
      <w:pPr>
        <w:pStyle w:val="Normal"/>
        <w:rPr>
          <w:rFonts w:ascii="Arial" w:hAnsi="Arial" w:cs="Arial"/>
          <w:b/>
          <w:b/>
          <w:bCs/>
        </w:rPr>
      </w:pPr>
      <w:r>
        <w:rPr>
          <w:rFonts w:cs="Arial" w:ascii="Arial" w:hAnsi="Arial"/>
          <w:b/>
          <w:bCs/>
        </w:rPr>
      </w:r>
    </w:p>
    <w:p>
      <w:pPr>
        <w:pStyle w:val="Normal"/>
        <w:rPr>
          <w:rFonts w:ascii="Arial" w:hAnsi="Arial" w:cs="Arial"/>
          <w:b/>
          <w:b/>
          <w:bCs/>
        </w:rPr>
      </w:pPr>
      <w:r>
        <w:rPr>
          <w:rFonts w:cs="Arial" w:ascii="Arial" w:hAnsi="Arial"/>
          <w:b/>
          <w:bCs/>
        </w:rPr>
      </w:r>
    </w:p>
    <w:p>
      <w:pPr>
        <w:pStyle w:val="Normal"/>
        <w:rPr>
          <w:rFonts w:ascii="Arial" w:hAnsi="Arial" w:cs="Arial"/>
          <w:b/>
          <w:b/>
          <w:bCs/>
        </w:rPr>
      </w:pPr>
      <w:r>
        <w:rPr>
          <w:rFonts w:cs="Arial" w:ascii="Arial" w:hAnsi="Arial"/>
          <w:b/>
          <w:bCs/>
        </w:rPr>
      </w:r>
    </w:p>
    <w:p>
      <w:pPr>
        <w:pStyle w:val="Normal"/>
        <w:rPr>
          <w:rFonts w:ascii="Arial" w:hAnsi="Arial" w:cs="Arial"/>
          <w:b/>
          <w:b/>
          <w:bCs/>
        </w:rPr>
      </w:pPr>
      <w:r>
        <w:rPr>
          <w:rFonts w:cs="Arial" w:ascii="Arial" w:hAnsi="Arial"/>
          <w:b/>
          <w:bCs/>
        </w:rPr>
      </w:r>
    </w:p>
    <w:p>
      <w:pPr>
        <w:pStyle w:val="Normal"/>
        <w:rPr>
          <w:rFonts w:ascii="Arial" w:hAnsi="Arial" w:cs="Arial"/>
          <w:b/>
          <w:b/>
          <w:bCs/>
        </w:rPr>
      </w:pPr>
      <w:r>
        <w:rPr>
          <w:rFonts w:cs="Arial" w:ascii="Arial" w:hAnsi="Arial"/>
          <w:b/>
          <w:bCs/>
        </w:rPr>
      </w:r>
    </w:p>
    <w:p>
      <w:pPr>
        <w:pStyle w:val="Normal"/>
        <w:rPr>
          <w:rFonts w:ascii="Arial" w:hAnsi="Arial" w:cs="Arial"/>
          <w:b/>
          <w:b/>
          <w:bCs/>
        </w:rPr>
      </w:pPr>
      <w:r>
        <w:rPr>
          <w:rFonts w:cs="Arial" w:ascii="Arial" w:hAnsi="Arial"/>
          <w:b/>
          <w:bCs/>
        </w:rPr>
      </w:r>
    </w:p>
    <w:p>
      <w:pPr>
        <w:pStyle w:val="Normal"/>
        <w:rPr>
          <w:rFonts w:ascii="Arial" w:hAnsi="Arial" w:cs="Arial"/>
          <w:b/>
          <w:b/>
          <w:bCs/>
        </w:rPr>
      </w:pPr>
      <w:r>
        <w:rPr>
          <w:rFonts w:cs="Arial" w:ascii="Arial" w:hAnsi="Arial"/>
          <w:b/>
          <w:bCs/>
        </w:rPr>
      </w:r>
    </w:p>
    <w:p>
      <w:pPr>
        <w:pStyle w:val="Normal"/>
        <w:rPr>
          <w:rFonts w:ascii="Arial" w:hAnsi="Arial" w:cs="Arial"/>
          <w:b/>
          <w:b/>
          <w:bCs/>
        </w:rPr>
      </w:pPr>
      <w:r>
        <w:rPr>
          <w:rFonts w:cs="Arial" w:ascii="Arial" w:hAnsi="Arial"/>
          <w:b/>
          <w:bCs/>
        </w:rPr>
      </w:r>
    </w:p>
    <w:p>
      <w:pPr>
        <w:pStyle w:val="Normal"/>
        <w:rPr>
          <w:rFonts w:ascii="Arial" w:hAnsi="Arial" w:cs="Arial"/>
          <w:b/>
          <w:b/>
          <w:bCs/>
        </w:rPr>
      </w:pPr>
      <w:r>
        <w:rPr>
          <w:rFonts w:cs="Arial" w:ascii="Arial" w:hAnsi="Arial"/>
          <w:b/>
          <w:bCs/>
        </w:rPr>
      </w:r>
    </w:p>
    <w:p>
      <w:pPr>
        <w:pStyle w:val="Normal"/>
        <w:rPr>
          <w:rFonts w:ascii="Arial" w:hAnsi="Arial" w:cs="Arial"/>
          <w:b/>
          <w:b/>
          <w:bCs/>
        </w:rPr>
      </w:pPr>
      <w:r>
        <w:rPr>
          <w:rFonts w:cs="Arial" w:ascii="Arial" w:hAnsi="Arial"/>
          <w:b/>
          <w:bCs/>
        </w:rPr>
      </w:r>
    </w:p>
    <w:p>
      <w:pPr>
        <w:pStyle w:val="Normal"/>
        <w:rPr>
          <w:rFonts w:ascii="Arial" w:hAnsi="Arial" w:cs="Arial"/>
          <w:b/>
          <w:b/>
          <w:bCs/>
        </w:rPr>
      </w:pPr>
      <w:r>
        <w:rPr>
          <w:rFonts w:cs="Arial" w:ascii="Arial" w:hAnsi="Arial"/>
          <w:b/>
          <w:bCs/>
        </w:rPr>
      </w:r>
    </w:p>
    <w:p>
      <w:pPr>
        <w:pStyle w:val="Normal"/>
        <w:rPr>
          <w:rFonts w:ascii="Arial" w:hAnsi="Arial" w:cs="Arial"/>
          <w:b/>
          <w:b/>
          <w:bCs/>
        </w:rPr>
      </w:pPr>
      <w:r>
        <w:rPr>
          <w:rFonts w:cs="Arial" w:ascii="Arial" w:hAnsi="Arial"/>
          <w:b/>
          <w:bCs/>
        </w:rPr>
      </w:r>
    </w:p>
    <w:p>
      <w:pPr>
        <w:pStyle w:val="Normal"/>
        <w:rPr>
          <w:rFonts w:ascii="Arial" w:hAnsi="Arial" w:cs="Arial"/>
          <w:b/>
          <w:b/>
          <w:bCs/>
        </w:rPr>
      </w:pPr>
      <w:r>
        <w:rPr>
          <w:rFonts w:cs="Arial" w:ascii="Arial" w:hAnsi="Arial"/>
          <w:b/>
          <w:bCs/>
        </w:rPr>
      </w:r>
    </w:p>
    <w:p>
      <w:pPr>
        <w:pStyle w:val="Normal"/>
        <w:ind w:left="6372" w:firstLine="708"/>
        <w:rPr>
          <w:rFonts w:ascii="Arial" w:hAnsi="Arial" w:cs="Arial"/>
          <w:b/>
          <w:b/>
          <w:bCs/>
        </w:rPr>
      </w:pPr>
      <w:r>
        <w:rPr>
          <w:rFonts w:cs="Arial" w:ascii="Arial" w:hAnsi="Arial"/>
          <w:b/>
          <w:bCs/>
        </w:rPr>
        <w:t>Z</w:t>
      </w:r>
      <w:bookmarkStart w:id="148" w:name="_Toc42666892"/>
      <w:bookmarkStart w:id="149" w:name="_Toc43271491"/>
      <w:bookmarkStart w:id="150" w:name="_Toc44824199"/>
      <w:r>
        <w:rPr>
          <w:rFonts w:cs="Arial" w:ascii="Arial" w:hAnsi="Arial"/>
          <w:b/>
          <w:bCs/>
        </w:rPr>
        <w:t>ałącznik nr 1</w:t>
      </w:r>
      <w:bookmarkEnd w:id="148"/>
      <w:bookmarkEnd w:id="149"/>
      <w:bookmarkEnd w:id="150"/>
    </w:p>
    <w:p>
      <w:pPr>
        <w:pStyle w:val="Normal"/>
        <w:ind w:firstLine="284"/>
        <w:rPr>
          <w:rFonts w:ascii="Arial" w:hAnsi="Arial" w:cs="Arial"/>
          <w:b/>
          <w:b/>
          <w:bCs/>
        </w:rPr>
      </w:pPr>
      <w:r>
        <w:rPr/>
        <w:drawing>
          <wp:inline distT="0" distB="0" distL="0" distR="0">
            <wp:extent cx="5753100" cy="7210425"/>
            <wp:effectExtent l="0" t="0" r="0" b="0"/>
            <wp:docPr id="62" name="Obraz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Obraz 15" descr=""/>
                    <pic:cNvPicPr>
                      <a:picLocks noChangeAspect="1" noChangeArrowheads="1"/>
                    </pic:cNvPicPr>
                  </pic:nvPicPr>
                  <pic:blipFill>
                    <a:blip r:embed="rId51"/>
                    <a:stretch>
                      <a:fillRect/>
                    </a:stretch>
                  </pic:blipFill>
                  <pic:spPr bwMode="auto">
                    <a:xfrm>
                      <a:off x="0" y="0"/>
                      <a:ext cx="5753100" cy="7210425"/>
                    </a:xfrm>
                    <a:prstGeom prst="rect">
                      <a:avLst/>
                    </a:prstGeom>
                  </pic:spPr>
                </pic:pic>
              </a:graphicData>
            </a:graphic>
          </wp:inline>
        </w:drawing>
      </w:r>
    </w:p>
    <w:p>
      <w:pPr>
        <w:pStyle w:val="Normal"/>
        <w:ind w:firstLine="284"/>
        <w:rPr>
          <w:rFonts w:ascii="Arial" w:hAnsi="Arial" w:cs="Arial"/>
          <w:b/>
          <w:b/>
          <w:bCs/>
        </w:rPr>
      </w:pPr>
      <w:r>
        <w:rPr>
          <w:rFonts w:cs="Arial" w:ascii="Arial" w:hAnsi="Arial"/>
          <w:b/>
          <w:bCs/>
        </w:rPr>
      </w:r>
    </w:p>
    <w:p>
      <w:pPr>
        <w:pStyle w:val="Normal"/>
        <w:ind w:firstLine="284"/>
        <w:rPr>
          <w:rFonts w:ascii="Arial" w:hAnsi="Arial" w:cs="Arial"/>
          <w:b/>
          <w:b/>
          <w:bCs/>
        </w:rPr>
      </w:pPr>
      <w:r>
        <w:rPr>
          <w:rFonts w:cs="Arial" w:ascii="Arial" w:hAnsi="Arial"/>
          <w:b/>
          <w:bCs/>
        </w:rPr>
      </w:r>
    </w:p>
    <w:p>
      <w:pPr>
        <w:pStyle w:val="Normal"/>
        <w:ind w:firstLine="284"/>
        <w:rPr>
          <w:rFonts w:ascii="Arial" w:hAnsi="Arial" w:cs="Arial"/>
          <w:b/>
          <w:b/>
          <w:bCs/>
        </w:rPr>
      </w:pPr>
      <w:r>
        <w:rPr>
          <w:rFonts w:cs="Arial" w:ascii="Arial" w:hAnsi="Arial"/>
          <w:b/>
          <w:bCs/>
        </w:rPr>
      </w:r>
    </w:p>
    <w:p>
      <w:pPr>
        <w:pStyle w:val="Normal"/>
        <w:jc w:val="center"/>
        <w:rPr>
          <w:rFonts w:ascii="Arial" w:hAnsi="Arial" w:cs="Arial"/>
          <w:b/>
          <w:b/>
        </w:rPr>
      </w:pPr>
      <w:r>
        <w:rPr/>
        <w:drawing>
          <wp:inline distT="0" distB="0" distL="0" distR="0">
            <wp:extent cx="5753100" cy="8277225"/>
            <wp:effectExtent l="0" t="0" r="0" b="0"/>
            <wp:docPr id="63" name="Obraz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Obraz 16" descr=""/>
                    <pic:cNvPicPr>
                      <a:picLocks noChangeAspect="1" noChangeArrowheads="1"/>
                    </pic:cNvPicPr>
                  </pic:nvPicPr>
                  <pic:blipFill>
                    <a:blip r:embed="rId52"/>
                    <a:stretch>
                      <a:fillRect/>
                    </a:stretch>
                  </pic:blipFill>
                  <pic:spPr bwMode="auto">
                    <a:xfrm>
                      <a:off x="0" y="0"/>
                      <a:ext cx="5753100" cy="8277225"/>
                    </a:xfrm>
                    <a:prstGeom prst="rect">
                      <a:avLst/>
                    </a:prstGeom>
                  </pic:spPr>
                </pic:pic>
              </a:graphicData>
            </a:graphic>
          </wp:inline>
        </w:drawing>
      </w:r>
    </w:p>
    <w:p>
      <w:pPr>
        <w:pStyle w:val="Normal"/>
        <w:jc w:val="right"/>
        <w:rPr>
          <w:rFonts w:ascii="Arial" w:hAnsi="Arial" w:cs="Arial"/>
          <w:b/>
          <w:b/>
        </w:rPr>
      </w:pPr>
      <w:r>
        <w:rPr>
          <w:rFonts w:cs="Arial" w:ascii="Arial" w:hAnsi="Arial"/>
          <w:b/>
        </w:rPr>
      </w:r>
    </w:p>
    <w:p>
      <w:pPr>
        <w:pStyle w:val="Normal"/>
        <w:jc w:val="right"/>
        <w:rPr>
          <w:rFonts w:ascii="Arial" w:hAnsi="Arial" w:cs="Arial"/>
          <w:b/>
          <w:b/>
        </w:rPr>
      </w:pPr>
      <w:r>
        <w:rPr>
          <w:rFonts w:cs="Arial" w:ascii="Arial" w:hAnsi="Arial"/>
          <w:b/>
        </w:rPr>
        <w:t>Załącznik nr 2</w:t>
      </w:r>
    </w:p>
    <w:p>
      <w:pPr>
        <w:pStyle w:val="Normal"/>
        <w:spacing w:lineRule="auto" w:line="240" w:before="0" w:after="0"/>
        <w:rPr>
          <w:rFonts w:ascii="Arial" w:hAnsi="Arial" w:cs="Arial"/>
          <w:b/>
          <w:b/>
        </w:rPr>
      </w:pPr>
      <w:r>
        <w:rPr/>
        <w:drawing>
          <wp:inline distT="0" distB="0" distL="0" distR="0">
            <wp:extent cx="5981700" cy="8315325"/>
            <wp:effectExtent l="0" t="0" r="0" b="0"/>
            <wp:docPr id="64" name="Obraz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Obraz 17" descr=""/>
                    <pic:cNvPicPr>
                      <a:picLocks noChangeAspect="1" noChangeArrowheads="1"/>
                    </pic:cNvPicPr>
                  </pic:nvPicPr>
                  <pic:blipFill>
                    <a:blip r:embed="rId53"/>
                    <a:stretch>
                      <a:fillRect/>
                    </a:stretch>
                  </pic:blipFill>
                  <pic:spPr bwMode="auto">
                    <a:xfrm>
                      <a:off x="0" y="0"/>
                      <a:ext cx="5981700" cy="8315325"/>
                    </a:xfrm>
                    <a:prstGeom prst="rect">
                      <a:avLst/>
                    </a:prstGeom>
                  </pic:spPr>
                </pic:pic>
              </a:graphicData>
            </a:graphic>
          </wp:inline>
        </w:drawing>
      </w:r>
    </w:p>
    <w:p>
      <w:pPr>
        <w:pStyle w:val="Normal"/>
        <w:jc w:val="right"/>
        <w:rPr>
          <w:rFonts w:ascii="Arial" w:hAnsi="Arial" w:cs="Arial"/>
          <w:b/>
          <w:b/>
        </w:rPr>
      </w:pPr>
      <w:r>
        <w:rPr>
          <w:rFonts w:cs="Arial" w:ascii="Arial" w:hAnsi="Arial"/>
          <w:b/>
        </w:rPr>
      </w:r>
    </w:p>
    <w:p>
      <w:pPr>
        <w:pStyle w:val="Normal"/>
        <w:jc w:val="right"/>
        <w:rPr>
          <w:rFonts w:ascii="Arial" w:hAnsi="Arial" w:cs="Arial"/>
          <w:b/>
          <w:b/>
        </w:rPr>
      </w:pPr>
      <w:r>
        <w:rPr>
          <w:rFonts w:cs="Arial" w:ascii="Arial" w:hAnsi="Arial"/>
          <w:b/>
        </w:rPr>
        <w:t>Załącznik nr 3</w:t>
      </w:r>
    </w:p>
    <w:p>
      <w:pPr>
        <w:pStyle w:val="Normal"/>
        <w:jc w:val="right"/>
        <w:rPr>
          <w:rFonts w:ascii="Arial" w:hAnsi="Arial" w:cs="Arial"/>
          <w:b/>
          <w:b/>
        </w:rPr>
      </w:pPr>
      <w:r>
        <w:rPr/>
        <w:drawing>
          <wp:inline distT="0" distB="0" distL="0" distR="0">
            <wp:extent cx="5753100" cy="7762875"/>
            <wp:effectExtent l="0" t="0" r="0" b="0"/>
            <wp:docPr id="65" name="Obraz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Obraz 18" descr=""/>
                    <pic:cNvPicPr>
                      <a:picLocks noChangeAspect="1" noChangeArrowheads="1"/>
                    </pic:cNvPicPr>
                  </pic:nvPicPr>
                  <pic:blipFill>
                    <a:blip r:embed="rId54"/>
                    <a:stretch>
                      <a:fillRect/>
                    </a:stretch>
                  </pic:blipFill>
                  <pic:spPr bwMode="auto">
                    <a:xfrm>
                      <a:off x="0" y="0"/>
                      <a:ext cx="5753100" cy="7762875"/>
                    </a:xfrm>
                    <a:prstGeom prst="rect">
                      <a:avLst/>
                    </a:prstGeom>
                  </pic:spPr>
                </pic:pic>
              </a:graphicData>
            </a:graphic>
          </wp:inline>
        </w:drawing>
      </w:r>
      <w:bookmarkStart w:id="151" w:name="_Toc42666894"/>
      <w:bookmarkStart w:id="152" w:name="_Toc43271493"/>
      <w:bookmarkStart w:id="153" w:name="_Toc44824201"/>
      <w:bookmarkEnd w:id="151"/>
      <w:bookmarkEnd w:id="152"/>
      <w:bookmarkEnd w:id="153"/>
    </w:p>
    <w:p>
      <w:pPr>
        <w:pStyle w:val="Normal"/>
        <w:rPr>
          <w:rFonts w:ascii="Arial" w:hAnsi="Arial" w:cs="Arial"/>
          <w:b/>
          <w:b/>
        </w:rPr>
      </w:pPr>
      <w:r>
        <w:rPr>
          <w:rFonts w:cs="Arial" w:ascii="Arial" w:hAnsi="Arial"/>
          <w:b/>
        </w:rPr>
      </w:r>
    </w:p>
    <w:p>
      <w:pPr>
        <w:pStyle w:val="Normal"/>
        <w:rPr>
          <w:rFonts w:ascii="Arial" w:hAnsi="Arial" w:cs="Arial"/>
          <w:b/>
          <w:b/>
        </w:rPr>
      </w:pPr>
      <w:r>
        <w:rPr/>
        <w:drawing>
          <wp:inline distT="0" distB="0" distL="0" distR="0">
            <wp:extent cx="5762625" cy="8191500"/>
            <wp:effectExtent l="0" t="0" r="0" b="0"/>
            <wp:docPr id="66" name="Obraz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Obraz 19" descr=""/>
                    <pic:cNvPicPr>
                      <a:picLocks noChangeAspect="1" noChangeArrowheads="1"/>
                    </pic:cNvPicPr>
                  </pic:nvPicPr>
                  <pic:blipFill>
                    <a:blip r:embed="rId55"/>
                    <a:stretch>
                      <a:fillRect/>
                    </a:stretch>
                  </pic:blipFill>
                  <pic:spPr bwMode="auto">
                    <a:xfrm>
                      <a:off x="0" y="0"/>
                      <a:ext cx="5762625" cy="8191500"/>
                    </a:xfrm>
                    <a:prstGeom prst="rect">
                      <a:avLst/>
                    </a:prstGeom>
                  </pic:spPr>
                </pic:pic>
              </a:graphicData>
            </a:graphic>
          </wp:inline>
        </w:drawing>
      </w:r>
    </w:p>
    <w:p>
      <w:pPr>
        <w:pStyle w:val="Normal"/>
        <w:rPr>
          <w:rFonts w:ascii="Arial" w:hAnsi="Arial" w:cs="Arial"/>
          <w:b/>
          <w:b/>
        </w:rPr>
      </w:pPr>
      <w:r>
        <w:rPr>
          <w:rFonts w:cs="Arial" w:ascii="Arial" w:hAnsi="Arial"/>
          <w:b/>
        </w:rPr>
      </w:r>
    </w:p>
    <w:p>
      <w:pPr>
        <w:pStyle w:val="Normal"/>
        <w:rPr>
          <w:rFonts w:ascii="Arial" w:hAnsi="Arial" w:cs="Arial"/>
          <w:b/>
          <w:b/>
        </w:rPr>
      </w:pPr>
      <w:r>
        <w:rPr/>
        <w:drawing>
          <wp:inline distT="0" distB="0" distL="0" distR="0">
            <wp:extent cx="5762625" cy="6410325"/>
            <wp:effectExtent l="0" t="0" r="0" b="0"/>
            <wp:docPr id="67" name="Obraz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Obraz 20" descr=""/>
                    <pic:cNvPicPr>
                      <a:picLocks noChangeAspect="1" noChangeArrowheads="1"/>
                    </pic:cNvPicPr>
                  </pic:nvPicPr>
                  <pic:blipFill>
                    <a:blip r:embed="rId56"/>
                    <a:stretch>
                      <a:fillRect/>
                    </a:stretch>
                  </pic:blipFill>
                  <pic:spPr bwMode="auto">
                    <a:xfrm>
                      <a:off x="0" y="0"/>
                      <a:ext cx="5762625" cy="6410325"/>
                    </a:xfrm>
                    <a:prstGeom prst="rect">
                      <a:avLst/>
                    </a:prstGeom>
                  </pic:spPr>
                </pic:pic>
              </a:graphicData>
            </a:graphic>
          </wp:inline>
        </w:drawing>
      </w:r>
    </w:p>
    <w:p>
      <w:pPr>
        <w:pStyle w:val="Normal"/>
        <w:rPr>
          <w:rFonts w:ascii="Arial" w:hAnsi="Arial" w:cs="Arial"/>
          <w:b/>
          <w:b/>
        </w:rPr>
      </w:pPr>
      <w:r>
        <w:rPr>
          <w:rFonts w:cs="Arial" w:ascii="Arial" w:hAnsi="Arial"/>
          <w:b/>
        </w:rPr>
      </w:r>
    </w:p>
    <w:p>
      <w:pPr>
        <w:pStyle w:val="Normal"/>
        <w:rPr>
          <w:rFonts w:ascii="Arial" w:hAnsi="Arial" w:cs="Arial"/>
          <w:b/>
          <w:b/>
        </w:rPr>
      </w:pPr>
      <w:r>
        <w:rPr>
          <w:rFonts w:cs="Arial" w:ascii="Arial" w:hAnsi="Arial"/>
          <w:b/>
        </w:rPr>
      </w:r>
    </w:p>
    <w:p>
      <w:pPr>
        <w:pStyle w:val="Normal"/>
        <w:rPr>
          <w:rFonts w:ascii="Arial" w:hAnsi="Arial" w:cs="Arial"/>
          <w:b/>
          <w:b/>
        </w:rPr>
      </w:pPr>
      <w:r>
        <w:rPr>
          <w:rFonts w:cs="Arial" w:ascii="Arial" w:hAnsi="Arial"/>
          <w:b/>
        </w:rPr>
      </w:r>
    </w:p>
    <w:p>
      <w:pPr>
        <w:pStyle w:val="Normal"/>
        <w:rPr>
          <w:rFonts w:ascii="Arial" w:hAnsi="Arial" w:cs="Arial"/>
          <w:b/>
          <w:b/>
        </w:rPr>
      </w:pPr>
      <w:r>
        <w:rPr>
          <w:rFonts w:cs="Arial" w:ascii="Arial" w:hAnsi="Arial"/>
          <w:b/>
        </w:rPr>
      </w:r>
    </w:p>
    <w:p>
      <w:pPr>
        <w:pStyle w:val="Normal"/>
        <w:rPr>
          <w:rFonts w:ascii="Arial" w:hAnsi="Arial" w:cs="Arial"/>
          <w:b/>
          <w:b/>
        </w:rPr>
      </w:pPr>
      <w:r>
        <w:rPr>
          <w:rFonts w:cs="Arial" w:ascii="Arial" w:hAnsi="Arial"/>
          <w:b/>
        </w:rPr>
      </w:r>
    </w:p>
    <w:p>
      <w:pPr>
        <w:pStyle w:val="Normal"/>
        <w:rPr>
          <w:rFonts w:ascii="Arial" w:hAnsi="Arial" w:cs="Arial"/>
          <w:b/>
          <w:b/>
        </w:rPr>
      </w:pPr>
      <w:r>
        <w:rPr>
          <w:rFonts w:cs="Arial" w:ascii="Arial" w:hAnsi="Arial"/>
          <w:b/>
        </w:rPr>
      </w:r>
    </w:p>
    <w:p>
      <w:pPr>
        <w:pStyle w:val="Normal"/>
        <w:rPr>
          <w:rFonts w:ascii="Arial" w:hAnsi="Arial" w:cs="Arial"/>
          <w:b/>
          <w:b/>
        </w:rPr>
      </w:pPr>
      <w:r>
        <w:rPr>
          <w:rFonts w:cs="Arial" w:ascii="Arial" w:hAnsi="Arial"/>
          <w:b/>
        </w:rPr>
      </w:r>
    </w:p>
    <w:p>
      <w:pPr>
        <w:pStyle w:val="Normal"/>
        <w:jc w:val="right"/>
        <w:rPr>
          <w:rFonts w:ascii="Arial" w:hAnsi="Arial" w:cs="Arial"/>
          <w:b/>
          <w:b/>
        </w:rPr>
      </w:pPr>
      <w:r>
        <w:rPr>
          <w:rFonts w:cs="Arial" w:ascii="Arial" w:hAnsi="Arial"/>
          <w:b/>
        </w:rPr>
        <w:t>Załącznik nr 4</w:t>
      </w:r>
    </w:p>
    <w:p>
      <w:pPr>
        <w:pStyle w:val="Normal"/>
        <w:rPr>
          <w:b/>
          <w:b/>
          <w:sz w:val="28"/>
          <w:szCs w:val="28"/>
        </w:rPr>
      </w:pPr>
      <w:bookmarkStart w:id="154" w:name="_Toc198696244"/>
      <w:bookmarkStart w:id="155" w:name="_Toc216830567"/>
      <w:bookmarkStart w:id="156" w:name="_Toc216831898"/>
      <w:bookmarkStart w:id="157" w:name="_Toc217787858"/>
      <w:bookmarkStart w:id="158" w:name="_Toc273400815"/>
      <w:bookmarkStart w:id="159" w:name="_Toc42666895"/>
      <w:bookmarkStart w:id="160" w:name="_Toc43271494"/>
      <w:bookmarkStart w:id="161" w:name="_Toc44824202"/>
      <w:r>
        <w:rPr>
          <w:b/>
          <w:sz w:val="28"/>
          <w:szCs w:val="28"/>
        </w:rPr>
        <w:t>Wzór oznakowania dla miejsc zawierających azbest</w:t>
      </w:r>
      <w:bookmarkEnd w:id="159"/>
      <w:bookmarkEnd w:id="160"/>
      <w:bookmarkEnd w:id="161"/>
      <w:r>
        <w:rPr>
          <w:b/>
          <w:sz w:val="28"/>
          <w:szCs w:val="28"/>
        </w:rPr>
        <w:t xml:space="preserve"> lub wyroby zawierające azbest.</w:t>
      </w:r>
      <w:bookmarkEnd w:id="154"/>
      <w:bookmarkEnd w:id="155"/>
      <w:bookmarkEnd w:id="156"/>
      <w:bookmarkEnd w:id="157"/>
      <w:bookmarkEnd w:id="158"/>
    </w:p>
    <w:p>
      <w:pPr>
        <w:pStyle w:val="Normal"/>
        <w:rPr>
          <w:rFonts w:ascii="Arial" w:hAnsi="Arial" w:cs="Arial"/>
        </w:rPr>
      </w:pPr>
      <w:r>
        <w:rPr>
          <w:rFonts w:cs="Arial" w:ascii="Arial" w:hAnsi="Arial"/>
        </w:rPr>
      </w:r>
    </w:p>
    <w:p>
      <w:pPr>
        <w:pStyle w:val="Nagwek2"/>
        <w:rPr/>
      </w:pPr>
      <w:r>
        <w:rPr/>
        <mc:AlternateContent>
          <mc:Choice Requires="wpg">
            <w:drawing>
              <wp:anchor behindDoc="0" distT="0" distB="0" distL="0" distR="0" simplePos="0" locked="0" layoutInCell="1" allowOverlap="1" relativeHeight="36" wp14:anchorId="03894A05">
                <wp:simplePos x="0" y="0"/>
                <wp:positionH relativeFrom="column">
                  <wp:posOffset>556260</wp:posOffset>
                </wp:positionH>
                <wp:positionV relativeFrom="paragraph">
                  <wp:posOffset>-351790</wp:posOffset>
                </wp:positionV>
                <wp:extent cx="4077970" cy="4328160"/>
                <wp:effectExtent l="0" t="57150" r="20320" b="55880"/>
                <wp:wrapNone/>
                <wp:docPr id="68" name="Grupa 403"/>
                <a:graphic xmlns:a="http://schemas.openxmlformats.org/drawingml/2006/main">
                  <a:graphicData uri="http://schemas.microsoft.com/office/word/2010/wordprocessingGroup">
                    <wpg:wgp>
                      <wpg:cNvGrpSpPr/>
                      <wpg:grpSpPr>
                        <a:xfrm>
                          <a:off x="0" y="0"/>
                          <a:ext cx="4077360" cy="4327560"/>
                        </a:xfrm>
                      </wpg:grpSpPr>
                      <wps:wsp>
                        <wps:cNvSpPr/>
                        <wps:spPr>
                          <a:xfrm flipH="1">
                            <a:off x="1085040" y="1698480"/>
                            <a:ext cx="540360" cy="720"/>
                          </a:xfrm>
                          <a:prstGeom prst="line">
                            <a:avLst/>
                          </a:prstGeom>
                          <a:ln w="9360">
                            <a:solidFill>
                              <a:srgbClr val="000000"/>
                            </a:solidFill>
                            <a:round/>
                          </a:ln>
                        </wps:spPr>
                        <wps:style>
                          <a:lnRef idx="0"/>
                          <a:fillRef idx="0"/>
                          <a:effectRef idx="0"/>
                          <a:fontRef idx="minor"/>
                        </wps:style>
                        <wps:bodyPr/>
                      </wps:wsp>
                      <wps:wsp>
                        <wps:cNvSpPr/>
                        <wps:spPr>
                          <a:xfrm>
                            <a:off x="1266120" y="0"/>
                            <a:ext cx="720" cy="1699200"/>
                          </a:xfrm>
                          <a:prstGeom prst="line">
                            <a:avLst/>
                          </a:prstGeom>
                          <a:ln w="9360">
                            <a:solidFill>
                              <a:srgbClr val="000000"/>
                            </a:solidFill>
                            <a:round/>
                            <a:headEnd len="med" type="triangle" w="med"/>
                            <a:tailEnd len="med" type="triangle" w="med"/>
                          </a:ln>
                        </wps:spPr>
                        <wps:style>
                          <a:lnRef idx="0"/>
                          <a:fillRef idx="0"/>
                          <a:effectRef idx="0"/>
                          <a:fontRef idx="minor"/>
                        </wps:style>
                        <wps:bodyPr/>
                      </wps:wsp>
                      <wps:wsp>
                        <wps:cNvSpPr/>
                        <wps:spPr>
                          <a:xfrm>
                            <a:off x="318240" y="719280"/>
                            <a:ext cx="1263600" cy="358200"/>
                          </a:xfrm>
                          <a:prstGeom prst="rect">
                            <a:avLst/>
                          </a:prstGeom>
                          <a:noFill/>
                          <a:ln>
                            <a:noFill/>
                          </a:ln>
                        </wps:spPr>
                        <wps:style>
                          <a:lnRef idx="0"/>
                          <a:fillRef idx="0"/>
                          <a:effectRef idx="0"/>
                          <a:fontRef idx="minor"/>
                        </wps:style>
                        <wps:txbx>
                          <w:txbxContent>
                            <w:p>
                              <w:pPr>
                                <w:overflowPunct w:val="false"/>
                                <w:spacing w:before="0" w:after="0" w:lineRule="auto" w:line="240"/>
                                <w:jc w:val="center"/>
                                <w:rPr/>
                              </w:pPr>
                              <w:r>
                                <w:rPr>
                                  <w:sz w:val="20"/>
                                  <w:b w:val="false"/>
                                  <w:u w:val="none"/>
                                  <w:dstrike w:val="false"/>
                                  <w:strike w:val="false"/>
                                  <w:i w:val="false"/>
                                  <w:vertAlign w:val="baseline"/>
                                  <w:position w:val="0"/>
                                  <w:spacing w:val="0"/>
                                  <w:szCs w:val="20"/>
                                  <w:bCs w:val="false"/>
                                  <w:iCs w:val="false"/>
                                  <w:smallCaps w:val="false"/>
                                  <w:caps w:val="false"/>
                                  <w:rFonts w:ascii="Calibri" w:hAnsi="Calibri"/>
                                  <w:color w:val="000000"/>
                                </w:rPr>
                                <w:t>h</w:t>
                              </w:r>
                            </w:p>
                          </w:txbxContent>
                        </wps:txbx>
                        <wps:bodyPr lIns="17640" rIns="17640" tIns="0" bIns="0">
                          <a:noAutofit/>
                        </wps:bodyPr>
                      </wps:wsp>
                      <wps:wsp>
                        <wps:cNvSpPr/>
                        <wps:spPr>
                          <a:xfrm flipH="1">
                            <a:off x="317520" y="4326120"/>
                            <a:ext cx="1308240" cy="1440"/>
                          </a:xfrm>
                          <a:prstGeom prst="line">
                            <a:avLst/>
                          </a:prstGeom>
                          <a:ln w="9360">
                            <a:solidFill>
                              <a:srgbClr val="000000"/>
                            </a:solidFill>
                            <a:round/>
                          </a:ln>
                        </wps:spPr>
                        <wps:style>
                          <a:lnRef idx="0"/>
                          <a:fillRef idx="0"/>
                          <a:effectRef idx="0"/>
                          <a:fontRef idx="minor"/>
                        </wps:style>
                        <wps:bodyPr/>
                      </wps:wsp>
                      <wps:wsp>
                        <wps:cNvSpPr/>
                        <wps:spPr>
                          <a:xfrm>
                            <a:off x="544320" y="0"/>
                            <a:ext cx="720" cy="4327560"/>
                          </a:xfrm>
                          <a:prstGeom prst="line">
                            <a:avLst/>
                          </a:prstGeom>
                          <a:ln w="9360">
                            <a:solidFill>
                              <a:srgbClr val="000000"/>
                            </a:solidFill>
                            <a:round/>
                            <a:headEnd len="med" type="triangle" w="med"/>
                            <a:tailEnd len="med" type="triangle" w="med"/>
                          </a:ln>
                        </wps:spPr>
                        <wps:style>
                          <a:lnRef idx="0"/>
                          <a:fillRef idx="0"/>
                          <a:effectRef idx="0"/>
                          <a:fontRef idx="minor"/>
                        </wps:style>
                        <wps:bodyPr/>
                      </wps:wsp>
                      <wps:wsp>
                        <wps:cNvSpPr/>
                        <wps:spPr>
                          <a:xfrm>
                            <a:off x="0" y="1698480"/>
                            <a:ext cx="901800" cy="357480"/>
                          </a:xfrm>
                          <a:prstGeom prst="rect">
                            <a:avLst/>
                          </a:prstGeom>
                          <a:noFill/>
                          <a:ln>
                            <a:noFill/>
                          </a:ln>
                        </wps:spPr>
                        <wps:style>
                          <a:lnRef idx="0"/>
                          <a:fillRef idx="0"/>
                          <a:effectRef idx="0"/>
                          <a:fontRef idx="minor"/>
                        </wps:style>
                        <wps:txbx>
                          <w:txbxContent>
                            <w:p>
                              <w:pPr>
                                <w:overflowPunct w:val="false"/>
                                <w:spacing w:before="0" w:after="0" w:lineRule="auto" w:line="240"/>
                                <w:jc w:val="center"/>
                                <w:rPr/>
                              </w:pPr>
                              <w:r>
                                <w:rPr>
                                  <w:sz w:val="20"/>
                                  <w:b w:val="false"/>
                                  <w:u w:val="none"/>
                                  <w:dstrike w:val="false"/>
                                  <w:strike w:val="false"/>
                                  <w:i w:val="false"/>
                                  <w:vertAlign w:val="baseline"/>
                                  <w:position w:val="0"/>
                                  <w:spacing w:val="0"/>
                                  <w:szCs w:val="20"/>
                                  <w:bCs w:val="false"/>
                                  <w:iCs w:val="false"/>
                                  <w:smallCaps w:val="false"/>
                                  <w:caps w:val="false"/>
                                  <w:rFonts w:ascii="Calibri" w:hAnsi="Calibri"/>
                                  <w:color w:val="000000"/>
                                </w:rPr>
                                <w:t>H</w:t>
                              </w:r>
                            </w:p>
                          </w:txbxContent>
                        </wps:txbx>
                        <wps:bodyPr lIns="17640" rIns="17640" tIns="0" bIns="0">
                          <a:noAutofit/>
                        </wps:bodyPr>
                      </wps:wsp>
                      <pic:pic xmlns:pic="http://schemas.openxmlformats.org/drawingml/2006/picture">
                        <pic:nvPicPr>
                          <pic:cNvPr id="0" name="Picture 255" descr=""/>
                          <pic:cNvPicPr/>
                        </pic:nvPicPr>
                        <pic:blipFill>
                          <a:blip r:embed="rId57"/>
                          <a:stretch/>
                        </pic:blipFill>
                        <pic:spPr>
                          <a:xfrm>
                            <a:off x="1626120" y="0"/>
                            <a:ext cx="2451240" cy="4325040"/>
                          </a:xfrm>
                          <a:prstGeom prst="rect">
                            <a:avLst/>
                          </a:prstGeom>
                          <a:ln w="9360">
                            <a:solidFill>
                              <a:srgbClr val="000000"/>
                            </a:solidFill>
                            <a:miter/>
                          </a:ln>
                        </pic:spPr>
                      </pic:pic>
                      <wps:wsp>
                        <wps:cNvSpPr/>
                        <wps:spPr>
                          <a:xfrm flipH="1">
                            <a:off x="318240" y="0"/>
                            <a:ext cx="2569320" cy="720"/>
                          </a:xfrm>
                          <a:prstGeom prst="line">
                            <a:avLst/>
                          </a:prstGeom>
                          <a:ln w="9360">
                            <a:solidFill>
                              <a:srgbClr val="000000"/>
                            </a:solidFill>
                            <a:round/>
                          </a:ln>
                        </wps:spPr>
                        <wps:style>
                          <a:lnRef idx="0"/>
                          <a:fillRef idx="0"/>
                          <a:effectRef idx="0"/>
                          <a:fontRef idx="minor"/>
                        </wps:style>
                        <wps:bodyPr/>
                      </wps:wsp>
                      <wps:wsp>
                        <wps:cNvSpPr/>
                        <wps:spPr>
                          <a:xfrm>
                            <a:off x="1262880" y="1685880"/>
                            <a:ext cx="720" cy="2639520"/>
                          </a:xfrm>
                          <a:prstGeom prst="line">
                            <a:avLst/>
                          </a:prstGeom>
                          <a:ln w="9360">
                            <a:solidFill>
                              <a:srgbClr val="000000"/>
                            </a:solidFill>
                            <a:round/>
                            <a:headEnd len="med" type="triangle" w="med"/>
                            <a:tailEnd len="med" type="triangle" w="med"/>
                          </a:ln>
                        </wps:spPr>
                        <wps:style>
                          <a:lnRef idx="0"/>
                          <a:fillRef idx="0"/>
                          <a:effectRef idx="0"/>
                          <a:fontRef idx="minor"/>
                        </wps:style>
                        <wps:bodyPr/>
                      </wps:wsp>
                      <wps:wsp>
                        <wps:cNvSpPr/>
                        <wps:spPr>
                          <a:xfrm>
                            <a:off x="292680" y="2931120"/>
                            <a:ext cx="1263600" cy="358200"/>
                          </a:xfrm>
                          <a:prstGeom prst="rect">
                            <a:avLst/>
                          </a:prstGeom>
                          <a:noFill/>
                          <a:ln>
                            <a:noFill/>
                          </a:ln>
                        </wps:spPr>
                        <wps:style>
                          <a:lnRef idx="0"/>
                          <a:fillRef idx="0"/>
                          <a:effectRef idx="0"/>
                          <a:fontRef idx="minor"/>
                        </wps:style>
                        <wps:bodyPr/>
                      </wps:wsp>
                    </wpg:wgp>
                  </a:graphicData>
                </a:graphic>
              </wp:anchor>
            </w:drawing>
          </mc:Choice>
          <mc:Fallback>
            <w:pict>
              <v:group id="shape_0" alt="Grupa 403" style="position:absolute;margin-left:43.6pt;margin-top:-27.9pt;width:321.05pt;height:340.7pt" coordorigin="872,-558" coordsize="6421,6814">
                <v:line id="shape_0" from="2581,2117" to="3431,2117" stroked="t" style="position:absolute;flip:x">
                  <v:stroke color="black" weight="9360" joinstyle="round" endcap="flat"/>
                  <v:fill o:detectmouseclick="t" on="false"/>
                </v:line>
                <v:line id="shape_0" from="2866,-558" to="2866,2117" stroked="t" style="position:absolute">
                  <v:stroke color="black" weight="9360" startarrow="block" endarrow="block" startarrowwidth="medium" startarrowlength="medium" endarrowwidth="medium" endarrowlength="medium" joinstyle="round" endcap="flat"/>
                  <v:fill o:detectmouseclick="t" on="false"/>
                </v:line>
                <v:rect id="shape_0" stroked="f" style="position:absolute;left:1373;top:575;width:1989;height:563">
                  <v:textbox>
                    <w:txbxContent>
                      <w:p>
                        <w:pPr>
                          <w:overflowPunct w:val="false"/>
                          <w:spacing w:before="0" w:after="0" w:lineRule="auto" w:line="240"/>
                          <w:jc w:val="center"/>
                          <w:rPr/>
                        </w:pPr>
                        <w:r>
                          <w:rPr>
                            <w:sz w:val="20"/>
                            <w:b w:val="false"/>
                            <w:u w:val="none"/>
                            <w:dstrike w:val="false"/>
                            <w:strike w:val="false"/>
                            <w:i w:val="false"/>
                            <w:vertAlign w:val="baseline"/>
                            <w:position w:val="0"/>
                            <w:spacing w:val="0"/>
                            <w:szCs w:val="20"/>
                            <w:bCs w:val="false"/>
                            <w:iCs w:val="false"/>
                            <w:smallCaps w:val="false"/>
                            <w:caps w:val="false"/>
                            <w:rFonts w:ascii="Calibri" w:hAnsi="Calibri"/>
                            <w:color w:val="000000"/>
                          </w:rPr>
                          <w:t>h</w:t>
                        </w:r>
                      </w:p>
                    </w:txbxContent>
                  </v:textbox>
                  <w10:wrap type="square"/>
                  <v:fill o:detectmouseclick="t" on="false"/>
                  <v:stroke color="#3465a4" joinstyle="round" endcap="flat"/>
                </v:rect>
                <v:line id="shape_0" from="1372,6255" to="3431,6256" stroked="t" style="position:absolute;flip:x">
                  <v:stroke color="black" weight="9360" joinstyle="round" endcap="flat"/>
                  <v:fill o:detectmouseclick="t" on="false"/>
                </v:line>
                <v:line id="shape_0" from="1729,-558" to="1729,6256" stroked="t" style="position:absolute">
                  <v:stroke color="black" weight="9360" startarrow="block" endarrow="block" startarrowwidth="medium" startarrowlength="medium" endarrowwidth="medium" endarrowlength="medium" joinstyle="round" endcap="flat"/>
                  <v:fill o:detectmouseclick="t" on="false"/>
                </v:line>
                <v:rect id="shape_0" stroked="f" style="position:absolute;left:872;top:2117;width:1419;height:562">
                  <v:textbox>
                    <w:txbxContent>
                      <w:p>
                        <w:pPr>
                          <w:overflowPunct w:val="false"/>
                          <w:spacing w:before="0" w:after="0" w:lineRule="auto" w:line="240"/>
                          <w:jc w:val="center"/>
                          <w:rPr/>
                        </w:pPr>
                        <w:r>
                          <w:rPr>
                            <w:sz w:val="20"/>
                            <w:b w:val="false"/>
                            <w:u w:val="none"/>
                            <w:dstrike w:val="false"/>
                            <w:strike w:val="false"/>
                            <w:i w:val="false"/>
                            <w:vertAlign w:val="baseline"/>
                            <w:position w:val="0"/>
                            <w:spacing w:val="0"/>
                            <w:szCs w:val="20"/>
                            <w:bCs w:val="false"/>
                            <w:iCs w:val="false"/>
                            <w:smallCaps w:val="false"/>
                            <w:caps w:val="false"/>
                            <w:rFonts w:ascii="Calibri" w:hAnsi="Calibri"/>
                            <w:color w:val="000000"/>
                          </w:rPr>
                          <w:t>H</w:t>
                        </w:r>
                      </w:p>
                    </w:txbxContent>
                  </v:textbox>
                  <w10:wrap type="square"/>
                  <v:fill o:detectmouseclick="t" on="false"/>
                  <v:stroke color="#3465a4" joinstyle="round" endcap="flat"/>
                </v:re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Picture 255" stroked="t" style="position:absolute;left:3433;top:-558;width:3859;height:6810" type="shapetype_75">
                  <v:imagedata r:id="rId57" o:detectmouseclick="t"/>
                  <w10:wrap type="none"/>
                  <v:stroke color="black" weight="9360" joinstyle="miter" endcap="flat"/>
                </v:shape>
                <v:line id="shape_0" from="1373,-558" to="5418,-558" stroked="t" style="position:absolute;flip:x">
                  <v:stroke color="black" weight="9360" joinstyle="round" endcap="flat"/>
                  <v:fill o:detectmouseclick="t" on="false"/>
                </v:line>
                <v:line id="shape_0" from="2861,2097" to="2861,6253" stroked="t" style="position:absolute">
                  <v:stroke color="black" weight="9360" startarrow="block" endarrow="block" startarrowwidth="medium" startarrowlength="medium" endarrowwidth="medium" endarrowlength="medium" joinstyle="round" endcap="flat"/>
                  <v:fill o:detectmouseclick="t" on="false"/>
                </v:line>
                <v:rect id="shape_0" stroked="f" style="position:absolute;left:1333;top:4058;width:1989;height:563">
                  <w10:wrap type="none"/>
                  <v:fill o:detectmouseclick="t" on="false"/>
                  <v:stroke color="#3465a4" joinstyle="round" endcap="flat"/>
                </v:rect>
              </v:group>
            </w:pict>
          </mc:Fallback>
        </mc:AlternateContent>
      </w:r>
      <w:bookmarkStart w:id="162" w:name="_Toc332200583"/>
      <w:bookmarkStart w:id="163" w:name="_Toc333419609"/>
      <w:bookmarkStart w:id="164" w:name="_Toc338408104"/>
      <w:bookmarkStart w:id="165" w:name="_Toc342924969"/>
      <w:bookmarkStart w:id="166" w:name="_Toc359071475"/>
      <w:bookmarkStart w:id="167" w:name="_Toc359195851"/>
      <w:bookmarkStart w:id="168" w:name="_Toc365050701"/>
      <w:bookmarkStart w:id="169" w:name="_Toc365295240"/>
      <w:bookmarkStart w:id="170" w:name="_Toc367957873"/>
      <w:bookmarkStart w:id="171" w:name="_Toc368737941"/>
      <w:bookmarkStart w:id="172" w:name="_Toc370335343"/>
      <w:bookmarkStart w:id="173" w:name="_Toc382207336"/>
      <w:bookmarkStart w:id="174" w:name="_Toc382207372"/>
      <w:bookmarkStart w:id="175" w:name="_Toc382207407"/>
      <w:bookmarkStart w:id="176" w:name="_Toc382213246"/>
      <w:bookmarkStart w:id="177" w:name="_Toc383766930"/>
      <w:bookmarkStart w:id="178" w:name="_Toc394001037"/>
      <w:bookmarkStart w:id="179" w:name="_Toc394065480"/>
      <w:bookmarkStart w:id="180" w:name="_Toc398803961"/>
      <w:bookmarkStart w:id="181" w:name="_Toc398804224"/>
      <w:bookmarkStart w:id="182" w:name="_Toc399413684"/>
      <w:bookmarkStart w:id="183" w:name="_Toc400105753"/>
      <w:bookmarkStart w:id="184" w:name="_Toc400956397"/>
      <w:bookmarkStart w:id="185" w:name="_Toc432757209"/>
      <w:bookmarkStart w:id="186" w:name="_Toc457494079"/>
      <w:bookmarkStart w:id="187" w:name="_Toc529530422"/>
      <w:bookmarkStart w:id="188" w:name="_Toc529535824"/>
      <w:bookmarkStart w:id="189" w:name="_Toc20296886"/>
      <w:bookmarkStart w:id="190" w:name="_Toc332200583"/>
      <w:bookmarkStart w:id="191" w:name="_Toc333419609"/>
      <w:bookmarkStart w:id="192" w:name="_Toc338408104"/>
      <w:bookmarkStart w:id="193" w:name="_Toc342924969"/>
      <w:bookmarkStart w:id="194" w:name="_Toc359071475"/>
      <w:bookmarkStart w:id="195" w:name="_Toc359195851"/>
      <w:bookmarkStart w:id="196" w:name="_Toc365050701"/>
      <w:bookmarkStart w:id="197" w:name="_Toc365295240"/>
      <w:bookmarkStart w:id="198" w:name="_Toc367957873"/>
      <w:bookmarkStart w:id="199" w:name="_Toc368737941"/>
      <w:bookmarkStart w:id="200" w:name="_Toc370335343"/>
      <w:bookmarkStart w:id="201" w:name="_Toc382207336"/>
      <w:bookmarkStart w:id="202" w:name="_Toc382207372"/>
      <w:bookmarkStart w:id="203" w:name="_Toc382207407"/>
      <w:bookmarkStart w:id="204" w:name="_Toc382213246"/>
      <w:bookmarkStart w:id="205" w:name="_Toc383766930"/>
      <w:bookmarkStart w:id="206" w:name="_Toc394001037"/>
      <w:bookmarkStart w:id="207" w:name="_Toc394065480"/>
      <w:bookmarkStart w:id="208" w:name="_Toc398803961"/>
      <w:bookmarkStart w:id="209" w:name="_Toc398804224"/>
      <w:bookmarkStart w:id="210" w:name="_Toc399413684"/>
      <w:bookmarkStart w:id="211" w:name="_Toc400105753"/>
      <w:bookmarkStart w:id="212" w:name="_Toc400956397"/>
      <w:bookmarkStart w:id="213" w:name="_Toc432757209"/>
      <w:bookmarkStart w:id="214" w:name="_Toc457494079"/>
      <w:bookmarkStart w:id="215" w:name="_Toc529530422"/>
      <w:bookmarkStart w:id="216" w:name="_Toc529535824"/>
      <w:bookmarkStart w:id="217" w:name="_Toc20296886"/>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pPr>
        <w:pStyle w:val="Normal"/>
        <w:jc w:val="center"/>
        <w:rPr>
          <w:rFonts w:ascii="Arial" w:hAnsi="Arial" w:cs="Arial"/>
        </w:rPr>
      </w:pPr>
      <w:r>
        <w:rPr>
          <w:rFonts w:cs="Arial" w:ascii="Arial" w:hAnsi="Arial"/>
        </w:rPr>
      </w:r>
    </w:p>
    <w:p>
      <w:pPr>
        <w:pStyle w:val="Normal"/>
        <w:jc w:val="center"/>
        <w:rPr>
          <w:rFonts w:ascii="Arial" w:hAnsi="Arial" w:cs="Arial"/>
        </w:rPr>
      </w:pPr>
      <w:r>
        <w:rPr>
          <w:rFonts w:cs="Arial" w:ascii="Arial" w:hAnsi="Arial"/>
        </w:rPr>
      </w:r>
    </w:p>
    <w:p>
      <w:pPr>
        <w:pStyle w:val="Normal"/>
        <w:jc w:val="center"/>
        <w:rPr>
          <w:rFonts w:ascii="Arial" w:hAnsi="Arial" w:cs="Arial"/>
        </w:rPr>
      </w:pPr>
      <w:r>
        <w:rPr>
          <w:rFonts w:cs="Arial" w:ascii="Arial" w:hAnsi="Arial"/>
        </w:rPr>
      </w:r>
    </w:p>
    <w:p>
      <w:pPr>
        <w:pStyle w:val="Normal"/>
        <w:jc w:val="center"/>
        <w:rPr>
          <w:rFonts w:ascii="Arial" w:hAnsi="Arial" w:cs="Arial"/>
        </w:rPr>
      </w:pPr>
      <w:r>
        <w:rPr>
          <w:rFonts w:cs="Arial" w:ascii="Arial" w:hAnsi="Arial"/>
        </w:rPr>
      </w:r>
    </w:p>
    <w:p>
      <w:pPr>
        <w:pStyle w:val="Normal"/>
        <w:jc w:val="center"/>
        <w:rPr>
          <w:rFonts w:ascii="Arial" w:hAnsi="Arial" w:cs="Arial"/>
        </w:rPr>
      </w:pPr>
      <w:r>
        <w:rPr>
          <w:rFonts w:cs="Arial" w:ascii="Arial" w:hAnsi="Arial"/>
        </w:rPr>
      </w:r>
    </w:p>
    <w:p>
      <w:pPr>
        <w:pStyle w:val="Normal"/>
        <w:jc w:val="center"/>
        <w:rPr>
          <w:rFonts w:ascii="Arial" w:hAnsi="Arial" w:cs="Arial"/>
        </w:rPr>
      </w:pPr>
      <w:r>
        <w:rPr>
          <w:rFonts w:cs="Arial" w:ascii="Arial" w:hAnsi="Arial"/>
        </w:rPr>
      </w:r>
    </w:p>
    <w:p>
      <w:pPr>
        <w:pStyle w:val="Normal"/>
        <w:jc w:val="center"/>
        <w:rPr>
          <w:rFonts w:ascii="Arial" w:hAnsi="Arial" w:cs="Arial"/>
        </w:rPr>
      </w:pPr>
      <w:r>
        <w:rPr>
          <w:rFonts w:cs="Arial" w:ascii="Arial" w:hAnsi="Arial"/>
        </w:rPr>
      </w:r>
    </w:p>
    <w:p>
      <w:pPr>
        <w:pStyle w:val="Normal"/>
        <w:jc w:val="center"/>
        <w:rPr>
          <w:rFonts w:ascii="Arial" w:hAnsi="Arial" w:cs="Arial"/>
        </w:rPr>
      </w:pPr>
      <w:r>
        <w:rPr>
          <w:rFonts w:cs="Arial" w:ascii="Arial" w:hAnsi="Arial"/>
        </w:rPr>
      </w:r>
    </w:p>
    <w:p>
      <w:pPr>
        <w:pStyle w:val="Normal"/>
        <w:jc w:val="center"/>
        <w:rPr>
          <w:rFonts w:ascii="Arial" w:hAnsi="Arial" w:cs="Arial"/>
        </w:rPr>
      </w:pPr>
      <w:r>
        <w:rPr>
          <w:rFonts w:cs="Arial" w:ascii="Arial" w:hAnsi="Arial"/>
        </w:rPr>
      </w:r>
    </w:p>
    <w:p>
      <w:pPr>
        <w:pStyle w:val="Normal"/>
        <w:jc w:val="center"/>
        <w:rPr>
          <w:rFonts w:ascii="Arial" w:hAnsi="Arial" w:cs="Arial"/>
        </w:rPr>
      </w:pPr>
      <w:r>
        <w:rPr>
          <w:rFonts w:cs="Arial" w:ascii="Arial" w:hAnsi="Arial"/>
        </w:rPr>
      </w:r>
    </w:p>
    <w:p>
      <w:pPr>
        <w:pStyle w:val="Normal"/>
        <w:jc w:val="center"/>
        <w:rPr>
          <w:rFonts w:ascii="Arial" w:hAnsi="Arial" w:cs="Arial"/>
        </w:rPr>
      </w:pPr>
      <w:r>
        <w:rPr>
          <w:rFonts w:cs="Arial" w:ascii="Arial" w:hAnsi="Arial"/>
        </w:rPr>
      </w:r>
    </w:p>
    <w:p>
      <w:pPr>
        <w:pStyle w:val="Normal"/>
        <w:jc w:val="center"/>
        <w:rPr>
          <w:rFonts w:ascii="Arial" w:hAnsi="Arial" w:cs="Arial"/>
        </w:rPr>
      </w:pPr>
      <w:r>
        <w:rPr>
          <w:rFonts w:cs="Arial" w:ascii="Arial" w:hAnsi="Arial"/>
        </w:rPr>
      </w:r>
    </w:p>
    <w:p>
      <w:pPr>
        <w:pStyle w:val="Normal"/>
        <w:rPr>
          <w:rFonts w:ascii="Arial" w:hAnsi="Arial" w:cs="Arial"/>
        </w:rPr>
      </w:pPr>
      <w:r>
        <w:rPr>
          <w:rFonts w:cs="Arial" w:ascii="Arial" w:hAnsi="Arial"/>
        </w:rPr>
      </w:r>
    </w:p>
    <w:p>
      <w:pPr>
        <w:pStyle w:val="Normal"/>
        <w:jc w:val="both"/>
        <w:rPr>
          <w:rFonts w:ascii="Arial" w:hAnsi="Arial" w:cs="Arial"/>
          <w:sz w:val="18"/>
          <w:szCs w:val="18"/>
        </w:rPr>
      </w:pPr>
      <w:r>
        <w:rPr>
          <w:rFonts w:cs="Arial" w:ascii="Arial" w:hAnsi="Arial"/>
          <w:sz w:val="18"/>
          <w:szCs w:val="18"/>
        </w:rPr>
        <w:t>Oznakowanie wzorowane jest na postanowieniu Unii Europejskiej (załącznik II do Dyrektywy 83/478/EWG).</w:t>
      </w:r>
    </w:p>
    <w:p>
      <w:pPr>
        <w:pStyle w:val="Normal"/>
        <w:jc w:val="both"/>
        <w:rPr>
          <w:rFonts w:ascii="Arial" w:hAnsi="Arial" w:cs="Arial"/>
          <w:sz w:val="18"/>
          <w:szCs w:val="18"/>
        </w:rPr>
      </w:pPr>
      <w:r>
        <w:rPr>
          <w:rFonts w:cs="Arial" w:ascii="Arial" w:hAnsi="Arial"/>
          <w:sz w:val="18"/>
          <w:szCs w:val="18"/>
        </w:rPr>
        <w:t>Wszystkie wyroby zawierające azbest oraz odpady lub miejsca ich występowania powinny być oznakowane w następujący sposób:</w:t>
      </w:r>
    </w:p>
    <w:p>
      <w:pPr>
        <w:pStyle w:val="Normal"/>
        <w:numPr>
          <w:ilvl w:val="0"/>
          <w:numId w:val="39"/>
        </w:numPr>
        <w:spacing w:lineRule="auto" w:line="240" w:before="0" w:after="0"/>
        <w:jc w:val="both"/>
        <w:rPr>
          <w:rFonts w:ascii="Arial" w:hAnsi="Arial" w:cs="Arial"/>
          <w:sz w:val="18"/>
          <w:szCs w:val="18"/>
        </w:rPr>
      </w:pPr>
      <w:r>
        <w:rPr>
          <w:rFonts w:cs="Arial" w:ascii="Arial" w:hAnsi="Arial"/>
          <w:sz w:val="18"/>
          <w:szCs w:val="18"/>
        </w:rPr>
        <w:t>oznakowanie zgodne z podanym wzorem, powinno posiadać wymiary co najmniej 5 cm wysokość (H) i 2,5 cm szerokość,</w:t>
      </w:r>
    </w:p>
    <w:p>
      <w:pPr>
        <w:pStyle w:val="Normal"/>
        <w:numPr>
          <w:ilvl w:val="0"/>
          <w:numId w:val="39"/>
        </w:numPr>
        <w:spacing w:lineRule="auto" w:line="240" w:before="0" w:after="0"/>
        <w:jc w:val="both"/>
        <w:rPr>
          <w:rFonts w:ascii="Arial" w:hAnsi="Arial" w:cs="Arial"/>
          <w:sz w:val="18"/>
          <w:szCs w:val="18"/>
        </w:rPr>
      </w:pPr>
      <w:r>
        <w:rPr>
          <w:rFonts w:cs="Arial" w:ascii="Arial" w:hAnsi="Arial"/>
          <w:sz w:val="18"/>
          <w:szCs w:val="18"/>
        </w:rPr>
        <w:t>oznakowanie powinno się składać z dwóch części:</w:t>
      </w:r>
    </w:p>
    <w:p>
      <w:pPr>
        <w:pStyle w:val="Normal"/>
        <w:ind w:left="1416" w:firstLine="24"/>
        <w:jc w:val="both"/>
        <w:rPr>
          <w:rFonts w:ascii="Arial" w:hAnsi="Arial" w:cs="Arial"/>
          <w:sz w:val="18"/>
          <w:szCs w:val="18"/>
        </w:rPr>
      </w:pPr>
      <w:r>
        <w:rPr>
          <w:rFonts w:cs="Arial" w:ascii="Arial" w:hAnsi="Arial"/>
          <w:sz w:val="18"/>
          <w:szCs w:val="18"/>
        </w:rPr>
        <w:t>części górnej (h</w:t>
      </w:r>
      <w:r>
        <w:rPr>
          <w:rFonts w:cs="Arial" w:ascii="Arial" w:hAnsi="Arial"/>
          <w:sz w:val="18"/>
          <w:szCs w:val="18"/>
          <w:vertAlign w:val="subscript"/>
        </w:rPr>
        <w:t xml:space="preserve">1 </w:t>
      </w:r>
      <w:r>
        <w:rPr>
          <w:rFonts w:cs="Arial" w:ascii="Arial" w:hAnsi="Arial"/>
          <w:sz w:val="18"/>
          <w:szCs w:val="18"/>
        </w:rPr>
        <w:t>= 40% H) zawierającej literę „a” w białym kolorze na czarnym tle,</w:t>
      </w:r>
    </w:p>
    <w:p>
      <w:pPr>
        <w:pStyle w:val="Normal"/>
        <w:ind w:left="1416" w:firstLine="24"/>
        <w:jc w:val="both"/>
        <w:rPr>
          <w:rFonts w:ascii="Arial" w:hAnsi="Arial" w:cs="Arial"/>
          <w:sz w:val="18"/>
          <w:szCs w:val="18"/>
        </w:rPr>
      </w:pPr>
      <w:r>
        <w:rPr>
          <w:rFonts w:cs="Arial" w:ascii="Arial" w:hAnsi="Arial"/>
          <w:sz w:val="18"/>
          <w:szCs w:val="18"/>
        </w:rPr>
        <w:t>części dolnej (h</w:t>
      </w:r>
      <w:r>
        <w:rPr>
          <w:rFonts w:cs="Arial" w:ascii="Arial" w:hAnsi="Arial"/>
          <w:sz w:val="18"/>
          <w:szCs w:val="18"/>
          <w:vertAlign w:val="subscript"/>
        </w:rPr>
        <w:t>2</w:t>
      </w:r>
      <w:r>
        <w:rPr>
          <w:rFonts w:cs="Arial" w:ascii="Arial" w:hAnsi="Arial"/>
          <w:sz w:val="18"/>
          <w:szCs w:val="18"/>
        </w:rPr>
        <w:t xml:space="preserve"> =60% H), zawierającej standardowy napis w białym i/lub czarnym kolorze na czerwonym tle i powinien być wyraźnie czytelny,</w:t>
      </w:r>
    </w:p>
    <w:p>
      <w:pPr>
        <w:sectPr>
          <w:footerReference w:type="default" r:id="rId58"/>
          <w:footnotePr>
            <w:numFmt w:val="decimal"/>
          </w:footnotePr>
          <w:type w:val="nextPage"/>
          <w:pgSz w:w="11906" w:h="16838"/>
          <w:pgMar w:left="992" w:right="1418" w:header="0" w:top="915" w:footer="713" w:bottom="1422" w:gutter="0"/>
          <w:pgNumType w:start="1" w:fmt="decimal"/>
          <w:formProt w:val="false"/>
          <w:textDirection w:val="lrTb"/>
          <w:docGrid w:type="default" w:linePitch="360" w:charSpace="0"/>
        </w:sectPr>
        <w:pStyle w:val="Stopka"/>
        <w:numPr>
          <w:ilvl w:val="0"/>
          <w:numId w:val="39"/>
        </w:numPr>
        <w:tabs>
          <w:tab w:val="clear" w:pos="4536"/>
          <w:tab w:val="clear" w:pos="9072"/>
        </w:tabs>
        <w:jc w:val="both"/>
        <w:rPr>
          <w:rFonts w:ascii="Arial" w:hAnsi="Arial" w:cs="Arial"/>
          <w:sz w:val="18"/>
          <w:szCs w:val="18"/>
        </w:rPr>
      </w:pPr>
      <w:r>
        <w:rPr>
          <w:rFonts w:cs="Arial" w:ascii="Arial" w:hAnsi="Arial"/>
          <w:sz w:val="18"/>
          <w:szCs w:val="18"/>
        </w:rPr>
        <w:t>jeżeli wyrób zawiera krokidolit, standardowo stosowany zwrot „zawiera azbest" powinien być zastąpiony zwrotem „zawiera krokidolit-azbestniebieski”.</w:t>
      </w:r>
    </w:p>
    <w:p>
      <w:pPr>
        <w:pStyle w:val="Normal"/>
        <w:rPr>
          <w:rFonts w:ascii="Arial" w:hAnsi="Arial" w:cs="Arial"/>
          <w:b/>
          <w:b/>
        </w:rPr>
      </w:pPr>
      <w:r>
        <w:rPr>
          <w:rFonts w:cs="Arial" w:ascii="Arial" w:hAnsi="Arial"/>
          <w:b/>
        </w:rPr>
      </w:r>
    </w:p>
    <w:p>
      <w:pPr>
        <w:pStyle w:val="Normal"/>
        <w:jc w:val="right"/>
        <w:rPr>
          <w:rFonts w:ascii="Arial" w:hAnsi="Arial" w:cs="Arial"/>
          <w:b/>
          <w:b/>
        </w:rPr>
      </w:pPr>
      <w:r>
        <w:rPr>
          <w:rFonts w:cs="Arial" w:ascii="Arial" w:hAnsi="Arial"/>
          <w:b/>
        </w:rPr>
        <w:t>Załącznik nr 5</w:t>
      </w:r>
    </w:p>
    <w:p>
      <w:pPr>
        <w:pStyle w:val="Normal"/>
        <w:rPr>
          <w:b/>
          <w:b/>
        </w:rPr>
      </w:pPr>
      <w:bookmarkStart w:id="218" w:name="_Toc198696245"/>
      <w:bookmarkStart w:id="219" w:name="_Toc216830568"/>
      <w:bookmarkStart w:id="220" w:name="_Toc216831899"/>
      <w:bookmarkStart w:id="221" w:name="_Toc217787859"/>
      <w:bookmarkStart w:id="222" w:name="_Toc273400816"/>
      <w:bookmarkStart w:id="223" w:name="_Toc42666896"/>
      <w:bookmarkStart w:id="224" w:name="_Toc43271495"/>
      <w:bookmarkStart w:id="225" w:name="_Toc44824203"/>
      <w:r>
        <w:rPr>
          <w:b/>
        </w:rPr>
        <w:t>Wzór " Karty Ewidencji Odpadu</w:t>
      </w:r>
      <w:bookmarkEnd w:id="223"/>
      <w:bookmarkEnd w:id="224"/>
      <w:bookmarkEnd w:id="225"/>
      <w:r>
        <w:rPr>
          <w:b/>
        </w:rPr>
        <w:t>"</w:t>
      </w:r>
      <w:bookmarkEnd w:id="218"/>
      <w:bookmarkEnd w:id="219"/>
      <w:bookmarkEnd w:id="220"/>
      <w:bookmarkEnd w:id="221"/>
      <w:bookmarkEnd w:id="222"/>
    </w:p>
    <w:p>
      <w:pPr>
        <w:pStyle w:val="Normal"/>
        <w:rPr>
          <w:rFonts w:ascii="Arial" w:hAnsi="Arial" w:cs="Arial"/>
          <w:b/>
          <w:b/>
        </w:rPr>
      </w:pPr>
      <w:r>
        <w:rPr/>
        <w:drawing>
          <wp:inline distT="0" distB="0" distL="0" distR="0">
            <wp:extent cx="8886825" cy="3886200"/>
            <wp:effectExtent l="0" t="0" r="0" b="0"/>
            <wp:docPr id="69" name="Obraz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Obraz 21" descr=""/>
                    <pic:cNvPicPr>
                      <a:picLocks noChangeAspect="1" noChangeArrowheads="1"/>
                    </pic:cNvPicPr>
                  </pic:nvPicPr>
                  <pic:blipFill>
                    <a:blip r:embed="rId59"/>
                    <a:stretch>
                      <a:fillRect/>
                    </a:stretch>
                  </pic:blipFill>
                  <pic:spPr bwMode="auto">
                    <a:xfrm>
                      <a:off x="0" y="0"/>
                      <a:ext cx="8886825" cy="3886200"/>
                    </a:xfrm>
                    <a:prstGeom prst="rect">
                      <a:avLst/>
                    </a:prstGeom>
                  </pic:spPr>
                </pic:pic>
              </a:graphicData>
            </a:graphic>
          </wp:inline>
        </w:drawing>
      </w:r>
    </w:p>
    <w:p>
      <w:pPr>
        <w:pStyle w:val="Normal"/>
        <w:rPr>
          <w:rFonts w:ascii="Arial" w:hAnsi="Arial" w:cs="Arial"/>
          <w:sz w:val="2"/>
          <w:szCs w:val="2"/>
        </w:rPr>
      </w:pPr>
      <w:r>
        <w:rPr>
          <w:rFonts w:cs="Arial" w:ascii="Arial" w:hAnsi="Arial"/>
          <w:sz w:val="2"/>
          <w:szCs w:val="2"/>
        </w:rPr>
      </w:r>
    </w:p>
    <w:p>
      <w:pPr>
        <w:pStyle w:val="Normal"/>
        <w:rPr>
          <w:rFonts w:ascii="Arial" w:hAnsi="Arial" w:cs="Arial"/>
          <w:b/>
          <w:b/>
        </w:rPr>
      </w:pPr>
      <w:r>
        <w:rPr>
          <w:rFonts w:cs="Arial" w:ascii="Arial" w:hAnsi="Arial"/>
          <w:b/>
        </w:rPr>
        <w:t>Objaśnienia:</w:t>
      </w:r>
    </w:p>
    <w:p>
      <w:pPr>
        <w:pStyle w:val="Normal"/>
        <w:spacing w:lineRule="auto" w:line="240"/>
        <w:rPr>
          <w:rFonts w:ascii="Arial" w:hAnsi="Arial" w:cs="Arial"/>
        </w:rPr>
      </w:pPr>
      <w:r>
        <w:rPr>
          <w:rFonts w:cs="Arial" w:ascii="Arial" w:hAnsi="Arial"/>
        </w:rPr>
        <w:t>Objaśnienia:</w:t>
      </w:r>
    </w:p>
    <w:p>
      <w:pPr>
        <w:pStyle w:val="Normal"/>
        <w:spacing w:lineRule="auto" w:line="240"/>
        <w:rPr>
          <w:rFonts w:ascii="Arial" w:hAnsi="Arial" w:cs="Arial"/>
        </w:rPr>
      </w:pPr>
      <w:r>
        <w:rPr>
          <w:rFonts w:cs="Arial" w:ascii="Arial" w:hAnsi="Arial"/>
        </w:rPr>
        <w:t>1)   Nie dotyczy komunalnych osadów ściekowych stosowanych w celach, o których mowa w art. 96 ust. 1 ustawy z dnia 14 grudnia 2012 r. o odpadach, prowadzącego zakład przetwarzania, o którym mowa w ustawie z dnia 29 lipca 2005 r. o zużytym sprzęcie elektrycznym i elektronicznym (Dz. U. z 2013 r. poz. 1155, z późn. zm.), w zakresie odpadów powstałych w wyniku demontażu zużytego sprzętu elektrycznego i elektronicznego oraz prowadzącego stację demontażu i prowadzącego punkt zbierania pojazdów, o których mowa w ustawie z dnia 20 stycznia 2005 r. o recyklingu pojazdów wycofanych z eksploatacji (Dz. U. z 2013 r. poz. 1162, z późn. zm.), w zakresie gospodarowania pojazdami wycofanymi z eksploatacji oraz sprzedawcy odpadów i pośrednika w obrocie odpadami. W przypadku odpadów komunalnych do wypełnienia karty ewidencji odpadów jest obowiązany podmiot, który uzyskał wpis do rejestru określonego w art. 9b ustawy z dnia 13 września 1996 r. o utrzymaniu czystości i porządku w gminach.</w:t>
      </w:r>
    </w:p>
    <w:p>
      <w:pPr>
        <w:pStyle w:val="Normal"/>
        <w:spacing w:lineRule="auto" w:line="240"/>
        <w:rPr>
          <w:rFonts w:ascii="Arial" w:hAnsi="Arial" w:cs="Arial"/>
        </w:rPr>
      </w:pPr>
      <w:r>
        <w:rPr>
          <w:rFonts w:cs="Arial" w:ascii="Arial" w:hAnsi="Arial"/>
        </w:rPr>
        <w:t>2)   W przypadku wytwarzania, zbierania, przetwarzania odpadów należy sporządzać osobną kartę ewidencji odpadów dla każdego miejsca prowadzenia działalności. W przypadku usług, o których mowa w art. 3 ust. 1 pkt 32 ustawy z dnia 14 grudnia 2012 r. o odpadach, kartę należy sporządzić dla danego rodzaju odpadu dla wszystkich świadczonych usług z terenu danego województwa. W przypadku odbierania odpadów komunalnych należy sporządzić osobno kartę dla każdej gminy, z terenu której odpady komunalne są odbierane.</w:t>
      </w:r>
    </w:p>
    <w:p>
      <w:pPr>
        <w:pStyle w:val="Normal"/>
        <w:spacing w:lineRule="auto" w:line="240"/>
        <w:rPr>
          <w:rFonts w:ascii="Arial" w:hAnsi="Arial" w:cs="Arial"/>
        </w:rPr>
      </w:pPr>
      <w:r>
        <w:rPr>
          <w:rFonts w:cs="Arial" w:ascii="Arial" w:hAnsi="Arial"/>
        </w:rPr>
        <w:t>3)   Zgodnie z katalogiem odpadów określonym w przepisach wydanych na podstawie art. 4 ust. 3 ustawy z dnia 14 grudnia 2012 r. o odpadach.</w:t>
      </w:r>
    </w:p>
    <w:p>
      <w:pPr>
        <w:pStyle w:val="Normal"/>
        <w:spacing w:lineRule="auto" w:line="240"/>
        <w:rPr>
          <w:rFonts w:ascii="Arial" w:hAnsi="Arial" w:cs="Arial"/>
        </w:rPr>
      </w:pPr>
      <w:r>
        <w:rPr>
          <w:rFonts w:cs="Arial" w:ascii="Arial" w:hAnsi="Arial"/>
        </w:rPr>
        <w:t>4)   Dotyczy działalności w zakresie unieszkodliwiania PCB.</w:t>
      </w:r>
    </w:p>
    <w:p>
      <w:pPr>
        <w:pStyle w:val="Normal"/>
        <w:spacing w:lineRule="auto" w:line="240"/>
        <w:rPr>
          <w:rFonts w:ascii="Arial" w:hAnsi="Arial" w:cs="Arial"/>
        </w:rPr>
      </w:pPr>
      <w:r>
        <w:rPr>
          <w:rFonts w:cs="Arial" w:ascii="Arial" w:hAnsi="Arial"/>
        </w:rPr>
        <w:t>5)   Podać imię i nazwisko lub nazwę posiadacza odpadów. W przypadku odbierania odpadów komunalnych posiadaczem obowiązanym do wypełnienia karty ewidencji odpadów jest podmiot, który uzyskał wpis do rejestru określonego w art. 9b ustawy z dnia 13 września 1996 r. o utrzymaniu czystości i porządku w gminach.</w:t>
      </w:r>
    </w:p>
    <w:p>
      <w:pPr>
        <w:pStyle w:val="Normal"/>
        <w:spacing w:lineRule="auto" w:line="240"/>
        <w:rPr>
          <w:rFonts w:ascii="Arial" w:hAnsi="Arial" w:cs="Arial"/>
        </w:rPr>
      </w:pPr>
      <w:r>
        <w:rPr>
          <w:rFonts w:cs="Arial" w:ascii="Arial" w:hAnsi="Arial"/>
        </w:rPr>
        <w:t>6)   Podać numer rejestrowy, o którym mowa w art. 54 ust. 1 ustawy z dnia 14 grudnia 2012 r. o odpadach.</w:t>
      </w:r>
    </w:p>
    <w:p>
      <w:pPr>
        <w:pStyle w:val="Normal"/>
        <w:spacing w:lineRule="auto" w:line="240"/>
        <w:rPr>
          <w:rFonts w:ascii="Arial" w:hAnsi="Arial" w:cs="Arial"/>
        </w:rPr>
      </w:pPr>
      <w:r>
        <w:rPr>
          <w:rFonts w:cs="Arial" w:ascii="Arial" w:hAnsi="Arial"/>
        </w:rPr>
        <w:t>7)   O ile posiada.</w:t>
      </w:r>
    </w:p>
    <w:p>
      <w:pPr>
        <w:pStyle w:val="Normal"/>
        <w:spacing w:lineRule="auto" w:line="240"/>
        <w:rPr>
          <w:rFonts w:ascii="Arial" w:hAnsi="Arial" w:cs="Arial"/>
        </w:rPr>
      </w:pPr>
      <w:r>
        <w:rPr>
          <w:rFonts w:cs="Arial" w:ascii="Arial" w:hAnsi="Arial"/>
        </w:rPr>
        <w:t>8)   Podać adres zamieszkania lub siedziby posiadacza odpadów.</w:t>
      </w:r>
    </w:p>
    <w:p>
      <w:pPr>
        <w:pStyle w:val="Normal"/>
        <w:spacing w:lineRule="auto" w:line="240"/>
        <w:rPr>
          <w:rFonts w:ascii="Arial" w:hAnsi="Arial" w:cs="Arial"/>
        </w:rPr>
      </w:pPr>
      <w:r>
        <w:rPr>
          <w:rFonts w:cs="Arial" w:ascii="Arial" w:hAnsi="Arial"/>
        </w:rPr>
        <w:t>9)   Podać adres miejsca prowadzenia działalności. W przypadku prowadzenia działalności w zakresie obiektów liniowych, o których mowa w art. 3 pkt 3a ustawy z dnia 7 lipca 1994 r. - Prawo budowlane, oraz w przypadku wykonywania usług, o których mowa w art. 3 ust. 1 pkt 32 ustawy z dnia 14 grudnia 2012 r. o odpadach, należy wpisać nazwę województwa i gminy, na terenie których są wytwarzane odpady w związku z prowadzeniem działalności w zakresie ww. obiektów liniowych lub świadczeniem ww. usług. W przypadku podmiotu, który uzyskał wpis do rejestru określonego w art. 9b ustawy z dnia 13 września 1996 r. o utrzymaniu czystości i porządku w gminach, należy podać nazwę województwa i gminy.</w:t>
      </w:r>
    </w:p>
    <w:p>
      <w:pPr>
        <w:pStyle w:val="Normal"/>
        <w:spacing w:lineRule="auto" w:line="240"/>
        <w:rPr>
          <w:rFonts w:ascii="Arial" w:hAnsi="Arial" w:cs="Arial"/>
        </w:rPr>
      </w:pPr>
      <w:r>
        <w:rPr>
          <w:rFonts w:cs="Arial" w:ascii="Arial" w:hAnsi="Arial"/>
        </w:rPr>
        <w:t>10)  Zaznaczyć symbolem X właściwy kwadrat: W - wytwarzanie odpadów, Zb - zbieranie odpadów, Od - odzysk, Un - unieszkodliwianie, Ok - odbieranie odpadów komunalnych.</w:t>
      </w:r>
    </w:p>
    <w:p>
      <w:pPr>
        <w:pStyle w:val="Normal"/>
        <w:spacing w:lineRule="auto" w:line="240"/>
        <w:rPr>
          <w:rFonts w:ascii="Arial" w:hAnsi="Arial" w:cs="Arial"/>
        </w:rPr>
      </w:pPr>
      <w:r>
        <w:rPr>
          <w:rFonts w:cs="Arial" w:ascii="Arial" w:hAnsi="Arial"/>
        </w:rPr>
        <w:t>11)  Podać masę odpadów z dokładnością do trzeciego miejsca po przecinku dla odpadów niebezpiecznych oraz innych niż niebezpieczne. W przypadku gdy masa odpadów jest mniejsza niż 1 kg, należy podać masę w zaokrągleniu do 1 kg.</w:t>
      </w:r>
    </w:p>
    <w:p>
      <w:pPr>
        <w:pStyle w:val="Normal"/>
        <w:spacing w:lineRule="auto" w:line="240"/>
        <w:rPr>
          <w:rFonts w:ascii="Arial" w:hAnsi="Arial" w:cs="Arial"/>
        </w:rPr>
      </w:pPr>
      <w:r>
        <w:rPr>
          <w:rFonts w:cs="Arial" w:ascii="Arial" w:hAnsi="Arial"/>
        </w:rPr>
        <w:t>12)  Nie dotyczy odpadów komunalnych.</w:t>
      </w:r>
    </w:p>
    <w:p>
      <w:pPr>
        <w:pStyle w:val="Normal"/>
        <w:spacing w:lineRule="auto" w:line="240"/>
        <w:rPr>
          <w:rFonts w:ascii="Arial" w:hAnsi="Arial" w:cs="Arial"/>
        </w:rPr>
      </w:pPr>
      <w:r>
        <w:rPr>
          <w:rFonts w:cs="Arial" w:ascii="Arial" w:hAnsi="Arial"/>
        </w:rPr>
        <w:t>13)  Wypełnia podmiot, który uzyskał wpis do rejestru określonego w art. 9b ustawy z dnia 13 września 1996 r. o utrzymaniu czystości i porządku w gminach.</w:t>
      </w:r>
    </w:p>
    <w:p>
      <w:pPr>
        <w:pStyle w:val="Normal"/>
        <w:spacing w:lineRule="auto" w:line="240"/>
        <w:rPr>
          <w:rFonts w:ascii="Arial" w:hAnsi="Arial" w:cs="Arial"/>
        </w:rPr>
      </w:pPr>
      <w:r>
        <w:rPr>
          <w:rFonts w:cs="Arial" w:ascii="Arial" w:hAnsi="Arial"/>
        </w:rPr>
        <w:t>14)  Podać numer karty przekazania odpadów, na podstawie której odpad został przyjęty. W przypadku przywozu odpadów na terytorium kraju należy wpisać - "Przywóz do RP". W przypadku przyjmowania odpadów z innego miejsca prowadzenia działalności danego posiadacza odpadów, należy wskazać to miejsce, podając - nazwę województwa, nazwę miejscowości, ulicę, nr domu i lokalu. W przypadku przyjmowania odpadów od posiadacza zwolnionego z obowiązku prowadzenia ewidencji odpadów, należy wpisać - "Z".</w:t>
      </w:r>
    </w:p>
    <w:p>
      <w:pPr>
        <w:pStyle w:val="Normal"/>
        <w:spacing w:lineRule="auto" w:line="240"/>
        <w:rPr>
          <w:rFonts w:ascii="Arial" w:hAnsi="Arial" w:cs="Arial"/>
        </w:rPr>
      </w:pPr>
      <w:r>
        <w:rPr>
          <w:rFonts w:cs="Arial" w:ascii="Arial" w:hAnsi="Arial"/>
        </w:rPr>
        <w:t>15)  Symbole R określają procesy odzysku zgodnie z załącznikiem nr 1 do ustawy z dnia 14 grudnia 2012 r. o odpadach. Symbole D określają procesy unieszkodliwiania odpadów zgodnie z załącznikiem nr 2 do ustawy z dnia 14 grudnia 2012 r. o odpadach.</w:t>
      </w:r>
    </w:p>
    <w:p>
      <w:pPr>
        <w:pStyle w:val="Normal"/>
        <w:spacing w:lineRule="auto" w:line="240"/>
        <w:rPr>
          <w:rFonts w:ascii="Arial" w:hAnsi="Arial" w:cs="Arial"/>
        </w:rPr>
      </w:pPr>
      <w:r>
        <w:rPr>
          <w:rFonts w:cs="Arial" w:ascii="Arial" w:hAnsi="Arial"/>
        </w:rPr>
        <w:t>16)  Wpisać "Rec" - w przypadku gdy odpady są poddawane recyklingowi w rozumieniu art. 3 ust. 1 pkt 23 ustawy z dnia 14 grudnia 2012 r. o odpadach. Wpisać "Wtn" - w przypadku wypełniania terenów niekorzystnie przekształconych, rozumianego jako proces odzysku rodzajów odpadów, o których mowa w przepisach wydanych na podstawie art. 30 ust. 5 ustawy z dnia 14 grudnia 2012 r. o odpadach. Wpisać "Ppu" - w przypadku przygotowania do ponownego użycia w rozumieniu art. 3 ust. 1 pkt 22 ustawy z dnia 14 grudnia 2012 r. o odpadach. W pozostałych przypadkach rubryka pozostaje pusta.</w:t>
      </w:r>
    </w:p>
    <w:p>
      <w:pPr>
        <w:sectPr>
          <w:headerReference w:type="default" r:id="rId60"/>
          <w:footerReference w:type="default" r:id="rId61"/>
          <w:footerReference w:type="first" r:id="rId62"/>
          <w:footnotePr>
            <w:numFmt w:val="decimal"/>
          </w:footnotePr>
          <w:type w:val="nextPage"/>
          <w:pgSz w:orient="landscape" w:w="16838" w:h="11906"/>
          <w:pgMar w:left="1418" w:right="1418" w:header="709" w:top="992" w:footer="709" w:bottom="1418" w:gutter="0"/>
          <w:pgNumType w:start="84" w:fmt="decimal"/>
          <w:formProt w:val="false"/>
          <w:titlePg/>
          <w:textDirection w:val="lrTb"/>
          <w:docGrid w:type="default" w:linePitch="360" w:charSpace="0"/>
        </w:sectPr>
        <w:pStyle w:val="Normal"/>
        <w:spacing w:lineRule="auto" w:line="240"/>
        <w:rPr>
          <w:rFonts w:ascii="Arial" w:hAnsi="Arial" w:cs="Arial"/>
          <w:b/>
          <w:b/>
        </w:rPr>
      </w:pPr>
      <w:r>
        <w:rPr>
          <w:rFonts w:cs="Arial" w:ascii="Arial" w:hAnsi="Arial"/>
        </w:rPr>
        <w:t>17)  Podać numer karty przekazania odpadów, na podstawie której odpad został przekazany innemu posiadaczowi odpadów. W przypadku wywozu odpadów poza terytorium kraju należy wpisać - "Wywóz poza RP". W przypadku przekazania odpadów osobom fizycznym lub jednostkom organizacyjnym niebędącym przedsiębiorcami do wykorzystania na własne potrzeby zgodnie z przepisami wydanymi na podstawie art. 27 ust. 10 ustawy z dnia 14 grudnia 2012 r. o odpadach, należy wpisać - "Przekazane os. fiz.". W przypadku przekazywania odpadów innemu posiadaczowi odpadów zwolnionemu z obowiązku prowadzenia ewidencji odpadów, należy wpisać - "Z". W przypadku przekazywania do innego miejsca prowadzenia działalności danego posiadacza odpadów, należy wskazać to miejsce, podając - nazwę województwa, nazwę miejscowości, ulicę, nr domu i lokalu.</w:t>
      </w:r>
    </w:p>
    <w:p>
      <w:pPr>
        <w:pStyle w:val="Normal"/>
        <w:jc w:val="right"/>
        <w:rPr>
          <w:rFonts w:ascii="Arial" w:hAnsi="Arial" w:cs="Arial"/>
          <w:b/>
          <w:b/>
        </w:rPr>
      </w:pPr>
      <w:r>
        <w:rPr>
          <w:rFonts w:cs="Arial" w:ascii="Arial" w:hAnsi="Arial"/>
          <w:b/>
        </w:rPr>
        <w:t>Załącznik nr 6</w:t>
      </w:r>
    </w:p>
    <w:p>
      <w:pPr>
        <w:pStyle w:val="Normal"/>
        <w:rPr>
          <w:rFonts w:ascii="Arial" w:hAnsi="Arial" w:cs="Arial"/>
          <w:b/>
          <w:b/>
        </w:rPr>
      </w:pPr>
      <w:bookmarkStart w:id="226" w:name="_Toc198696246"/>
      <w:bookmarkStart w:id="227" w:name="_Toc216830569"/>
      <w:bookmarkStart w:id="228" w:name="_Toc216831900"/>
      <w:bookmarkStart w:id="229" w:name="_Toc217787860"/>
      <w:bookmarkStart w:id="230" w:name="_Toc273400817"/>
      <w:r>
        <w:rPr>
          <w:b/>
          <w:sz w:val="28"/>
          <w:szCs w:val="28"/>
        </w:rPr>
        <w:t>Wzór "Karty Przekazania Odpadu".</w:t>
      </w:r>
      <w:bookmarkEnd w:id="226"/>
      <w:bookmarkEnd w:id="227"/>
      <w:bookmarkEnd w:id="228"/>
      <w:bookmarkEnd w:id="229"/>
      <w:bookmarkEnd w:id="230"/>
    </w:p>
    <w:p>
      <w:pPr>
        <w:pStyle w:val="Normal"/>
        <w:rPr>
          <w:rFonts w:ascii="Arial" w:hAnsi="Arial" w:cs="Arial"/>
        </w:rPr>
      </w:pPr>
      <w:r>
        <w:rPr/>
        <w:drawing>
          <wp:inline distT="0" distB="0" distL="0" distR="0">
            <wp:extent cx="8886825" cy="4305300"/>
            <wp:effectExtent l="0" t="0" r="0" b="0"/>
            <wp:docPr id="70" name="Obraz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Obraz 22" descr=""/>
                    <pic:cNvPicPr>
                      <a:picLocks noChangeAspect="1" noChangeArrowheads="1"/>
                    </pic:cNvPicPr>
                  </pic:nvPicPr>
                  <pic:blipFill>
                    <a:blip r:embed="rId63"/>
                    <a:stretch>
                      <a:fillRect/>
                    </a:stretch>
                  </pic:blipFill>
                  <pic:spPr bwMode="auto">
                    <a:xfrm>
                      <a:off x="0" y="0"/>
                      <a:ext cx="8886825" cy="4305300"/>
                    </a:xfrm>
                    <a:prstGeom prst="rect">
                      <a:avLst/>
                    </a:prstGeom>
                  </pic:spPr>
                </pic:pic>
              </a:graphicData>
            </a:graphic>
          </wp:inline>
        </w:drawing>
      </w:r>
    </w:p>
    <w:p>
      <w:pPr>
        <w:pStyle w:val="Normal"/>
        <w:ind w:right="4193" w:hanging="0"/>
        <w:rPr>
          <w:rFonts w:ascii="Arial" w:hAnsi="Arial" w:cs="Arial"/>
          <w:b/>
          <w:b/>
        </w:rPr>
      </w:pPr>
      <w:r>
        <w:rPr>
          <w:rFonts w:cs="Arial" w:ascii="Arial" w:hAnsi="Arial"/>
          <w:b/>
        </w:rPr>
        <w:t>Objaśnienia:</w:t>
      </w:r>
    </w:p>
    <w:p>
      <w:pPr>
        <w:pStyle w:val="Normal"/>
        <w:spacing w:lineRule="auto" w:line="240"/>
        <w:ind w:right="-32" w:hanging="0"/>
        <w:rPr>
          <w:rFonts w:ascii="Arial" w:hAnsi="Arial" w:cs="Arial"/>
        </w:rPr>
      </w:pPr>
      <w:r>
        <w:rPr>
          <w:rFonts w:cs="Arial" w:ascii="Arial" w:hAnsi="Arial"/>
        </w:rPr>
        <w:t>1)   Numer jest nadawany przez posiadacza odpadów, który przekazuje odpad.</w:t>
      </w:r>
    </w:p>
    <w:p>
      <w:pPr>
        <w:pStyle w:val="Normal"/>
        <w:spacing w:lineRule="auto" w:line="240"/>
        <w:ind w:right="-32" w:hanging="0"/>
        <w:rPr>
          <w:rFonts w:ascii="Arial" w:hAnsi="Arial" w:cs="Arial"/>
        </w:rPr>
      </w:pPr>
      <w:r>
        <w:rPr>
          <w:rFonts w:cs="Arial" w:ascii="Arial" w:hAnsi="Arial"/>
        </w:rPr>
        <w:t>2)   Podać imię i nazwisko lub nazwę podmiotu oraz adres zamieszkania lub siedziby.</w:t>
      </w:r>
    </w:p>
    <w:p>
      <w:pPr>
        <w:pStyle w:val="Normal"/>
        <w:spacing w:lineRule="auto" w:line="240"/>
        <w:ind w:right="-32" w:hanging="0"/>
        <w:rPr>
          <w:rFonts w:ascii="Arial" w:hAnsi="Arial" w:cs="Arial"/>
        </w:rPr>
      </w:pPr>
      <w:r>
        <w:rPr>
          <w:rFonts w:cs="Arial" w:ascii="Arial" w:hAnsi="Arial"/>
        </w:rPr>
        <w:t>3)   W przypadku odpadów komunalnych do wypełnienia karty przekazania odpadów jest obowiązany podmiot, który uzyskał wpis do rejestru określonego w art. 9b ustawy z dnia 13 września 1996 r. o utrzymaniu czystości i porządku w gminach (Dz. U. z 2013 r. poz. 1399, z późn. zm.). Kartę przekazania odpadów należy wypełnić osobno dla każdej gminy, z której odpady są odbierane.</w:t>
      </w:r>
    </w:p>
    <w:p>
      <w:pPr>
        <w:pStyle w:val="Normal"/>
        <w:spacing w:lineRule="auto" w:line="240"/>
        <w:ind w:right="-32" w:hanging="0"/>
        <w:rPr>
          <w:rFonts w:ascii="Arial" w:hAnsi="Arial" w:cs="Arial"/>
        </w:rPr>
      </w:pPr>
      <w:r>
        <w:rPr>
          <w:rFonts w:cs="Arial" w:ascii="Arial" w:hAnsi="Arial"/>
        </w:rPr>
        <w:t>4)   Dotyczy posiadacza odpadów transportującego odpady.</w:t>
      </w:r>
    </w:p>
    <w:p>
      <w:pPr>
        <w:pStyle w:val="Normal"/>
        <w:spacing w:lineRule="auto" w:line="240"/>
        <w:ind w:right="-32" w:hanging="0"/>
        <w:rPr>
          <w:rFonts w:ascii="Arial" w:hAnsi="Arial" w:cs="Arial"/>
        </w:rPr>
      </w:pPr>
      <w:r>
        <w:rPr>
          <w:rFonts w:cs="Arial" w:ascii="Arial" w:hAnsi="Arial"/>
        </w:rPr>
        <w:t>5)   W przypadku gdy odpad jest transportowany kolejno przez dwóch lub więcej prowadzących działalność w zakresie transportu odpadów, w oznaczonych rubrykach należy podać wymagane dane i podpisy wszystkich transportujących odpad z zachowaniem kolejności transportowania odpadu.</w:t>
      </w:r>
    </w:p>
    <w:p>
      <w:pPr>
        <w:pStyle w:val="Normal"/>
        <w:spacing w:lineRule="auto" w:line="240"/>
        <w:ind w:right="-32" w:hanging="0"/>
        <w:rPr>
          <w:rFonts w:ascii="Arial" w:hAnsi="Arial" w:cs="Arial"/>
        </w:rPr>
      </w:pPr>
      <w:r>
        <w:rPr>
          <w:rFonts w:cs="Arial" w:ascii="Arial" w:hAnsi="Arial"/>
        </w:rPr>
        <w:t>6)   W przypadku władających powierzchnią ziemi, na której komunalne osady ściekowe są stosowane zgodnie z art. 71 i art. 96 ustawy z dnia 14 grudnia 2012 r. o odpadach (Dz. U. z 2013 r. poz. 21, z późn. zm.), należy podać imię i nazwisko oraz adres zamieszkania.</w:t>
      </w:r>
    </w:p>
    <w:p>
      <w:pPr>
        <w:pStyle w:val="Normal"/>
        <w:spacing w:lineRule="auto" w:line="240"/>
        <w:ind w:right="-32" w:hanging="0"/>
        <w:rPr>
          <w:rFonts w:ascii="Arial" w:hAnsi="Arial" w:cs="Arial"/>
        </w:rPr>
      </w:pPr>
      <w:r>
        <w:rPr>
          <w:rFonts w:cs="Arial" w:ascii="Arial" w:hAnsi="Arial"/>
        </w:rPr>
        <w:t>7)   Podać adres miejsca prowadzenia działalności. W przypadku prowadzenia działalności w zakresie obiektów liniowych, o których mowa w art. 3 pkt 3a ustawy z dnia 7 lipca 1994 r. - Prawo budowlane (Dz. U. z 2013 r. poz. 1409, z późn. zm.), oraz w przypadku wykonywania usług, o których mowa w art. 3 ust. 1 pkt 32 ustawy z dnia 14 grudnia 2012 r. o odpadach, należy wpisać nazwę województwa i gminy, na terenie których są wytwarzane odpady w związku z prowadzoną działalnością w zakresie ww. obiektów liniowych lub świadczeniem ww. usług. W przypadku podmiotu, który uzyskał wpis do rejestru określonego w art. 9b ustawy z dnia 13 września 1996 r. o utrzymaniu czystości i porządku w gminach, należy podać nazwę województwa i gminy.</w:t>
      </w:r>
    </w:p>
    <w:p>
      <w:pPr>
        <w:pStyle w:val="Normal"/>
        <w:spacing w:lineRule="auto" w:line="240"/>
        <w:ind w:right="-32" w:hanging="0"/>
        <w:rPr>
          <w:rFonts w:ascii="Arial" w:hAnsi="Arial" w:cs="Arial"/>
        </w:rPr>
      </w:pPr>
      <w:r>
        <w:rPr>
          <w:rFonts w:cs="Arial" w:ascii="Arial" w:hAnsi="Arial"/>
        </w:rPr>
        <w:t>8)   O ile dotyczy. Podać numer rejestrowy, o którym mowa w art. 54 ust. 1 ustawy z dnia 14 grudnia 2012 r. o odpadach.</w:t>
      </w:r>
    </w:p>
    <w:p>
      <w:pPr>
        <w:pStyle w:val="Normal"/>
        <w:spacing w:lineRule="auto" w:line="240"/>
        <w:ind w:right="-32" w:hanging="0"/>
        <w:rPr>
          <w:rFonts w:ascii="Arial" w:hAnsi="Arial" w:cs="Arial"/>
        </w:rPr>
      </w:pPr>
      <w:r>
        <w:rPr>
          <w:rFonts w:cs="Arial" w:ascii="Arial" w:hAnsi="Arial"/>
        </w:rPr>
        <w:t>9)   O ile posiada.</w:t>
      </w:r>
    </w:p>
    <w:p>
      <w:pPr>
        <w:pStyle w:val="Normal"/>
        <w:spacing w:lineRule="auto" w:line="240"/>
        <w:ind w:right="-32" w:hanging="0"/>
        <w:rPr>
          <w:rFonts w:ascii="Arial" w:hAnsi="Arial" w:cs="Arial"/>
        </w:rPr>
      </w:pPr>
      <w:r>
        <w:rPr>
          <w:rFonts w:cs="Arial" w:ascii="Arial" w:hAnsi="Arial"/>
        </w:rPr>
        <w:t>10)  Podać imię i nazwisko lub nazwę oraz adres, pod który należy dostarczyć odpad.</w:t>
      </w:r>
    </w:p>
    <w:p>
      <w:pPr>
        <w:pStyle w:val="Normal"/>
        <w:spacing w:lineRule="auto" w:line="240"/>
        <w:ind w:right="-32" w:hanging="0"/>
        <w:rPr>
          <w:rFonts w:ascii="Arial" w:hAnsi="Arial" w:cs="Arial"/>
        </w:rPr>
      </w:pPr>
      <w:r>
        <w:rPr>
          <w:rFonts w:cs="Arial" w:ascii="Arial" w:hAnsi="Arial"/>
        </w:rPr>
        <w:t>11)  Dotyczy stacji demontażu w przypadku przekazywania odpadów powstałych w wyniku demontażu pojazdów wycofanych z eksploatacji innemu posiadaczowi odpadów oraz zarządzającego składowiskiem odpadów niebezpiecznych przeznaczonym do czasowego składowania odpadów rtęci metalicznej przekazującego te odpady do dalszego unieszkodliwienia, należy podać symbol R lub D. Symbole R określają procesy odzysku zgodnie z załącznikiem nr 1 do ustawy z dnia 14 grudnia 2012 r. o odpadach. Symbole D określają procesy unieszkodliwiania odpadów zgodnie z załącznikiem nr 2 do ustawy z dnia 14 grudnia 2012 r. o odpadach.</w:t>
      </w:r>
    </w:p>
    <w:p>
      <w:pPr>
        <w:pStyle w:val="Normal"/>
        <w:spacing w:lineRule="auto" w:line="240"/>
        <w:ind w:right="-32" w:hanging="0"/>
        <w:rPr>
          <w:rFonts w:ascii="Arial" w:hAnsi="Arial" w:cs="Arial"/>
        </w:rPr>
      </w:pPr>
      <w:r>
        <w:rPr>
          <w:rFonts w:cs="Arial" w:ascii="Arial" w:hAnsi="Arial"/>
        </w:rPr>
        <w:t>12)  Dotyczy wyłącznie wytwórcy zakaźnych odpadów medycznych lub zakaźnych odpadów weterynaryjnych przekazującego te odpady do unieszkodliwienia w spalarni odpadów. W przypadku gdy wytwórca zakaźnych odpadów medycznych lub zakaźnych odpadów weterynaryjnych przekazuje odpady zbierającemu, który uzyskał zezwolenie, o którym mowa w art. 23 ust. 4 ustawy z dnia 14 grudnia 2012 r. o odpadach, należy sporządzić osobny wniosek o wydanie dokumentu potwierdzającego unieszkodliwienie i przekazać go do spalarni odpadów.</w:t>
      </w:r>
    </w:p>
    <w:p>
      <w:pPr>
        <w:pStyle w:val="Normal"/>
        <w:spacing w:lineRule="auto" w:line="240"/>
        <w:ind w:right="-32" w:hanging="0"/>
        <w:rPr>
          <w:rFonts w:ascii="Arial" w:hAnsi="Arial" w:cs="Arial"/>
        </w:rPr>
      </w:pPr>
      <w:r>
        <w:rPr>
          <w:rFonts w:cs="Arial" w:ascii="Arial" w:hAnsi="Arial"/>
        </w:rPr>
        <w:t>13)  Zgodnie z katalogiem odpadów określonym w przepisach wydanych na podstawie art. 4 ust. 3 ustawy z dnia 14 grudnia 2012 r. o odpadach.</w:t>
      </w:r>
    </w:p>
    <w:p>
      <w:pPr>
        <w:pStyle w:val="Normal"/>
        <w:spacing w:lineRule="auto" w:line="240"/>
        <w:ind w:right="-32" w:hanging="0"/>
        <w:rPr>
          <w:rFonts w:ascii="Arial" w:hAnsi="Arial" w:cs="Arial"/>
        </w:rPr>
      </w:pPr>
      <w:r>
        <w:rPr>
          <w:rFonts w:cs="Arial" w:ascii="Arial" w:hAnsi="Arial"/>
        </w:rPr>
        <w:t>14)  W przypadku odpadów niebezpiecznych podać każdą datę przekazania odpadu.</w:t>
      </w:r>
    </w:p>
    <w:p>
      <w:pPr>
        <w:pStyle w:val="Normal"/>
        <w:spacing w:lineRule="auto" w:line="240"/>
        <w:ind w:right="-32" w:hanging="0"/>
        <w:rPr>
          <w:rFonts w:ascii="Arial" w:hAnsi="Arial" w:cs="Arial"/>
        </w:rPr>
      </w:pPr>
      <w:r>
        <w:rPr>
          <w:rFonts w:cs="Arial" w:ascii="Arial" w:hAnsi="Arial"/>
        </w:rPr>
        <w:t>15)  Karta może być stosowana jako jednorazowa karta przekazania odpadów lub jako zbiorcza karta przekazania odpadów obejmująca odpad danego rodzaju przekazywany łącznie w czasie jednego miesiąca kalendarzowego, za pośrednictwem tego samego transportującego odpady, temu samemu posiadaczowi odpadów.</w:t>
      </w:r>
    </w:p>
    <w:p>
      <w:pPr>
        <w:pStyle w:val="Normal"/>
        <w:spacing w:lineRule="auto" w:line="240"/>
        <w:ind w:right="-32" w:hanging="0"/>
        <w:rPr>
          <w:rFonts w:ascii="Arial" w:hAnsi="Arial" w:cs="Arial"/>
        </w:rPr>
      </w:pPr>
      <w:r>
        <w:rPr>
          <w:rFonts w:cs="Arial" w:ascii="Arial" w:hAnsi="Arial"/>
        </w:rPr>
        <w:t>16)  Podać masę odpadów z dokładnością do trzeciego miejsca po przecinku dla odpadów niebezpiecznych oraz innych niż niebezpieczne. W przypadku gdy masa odpadów jest mniejsza niż 1 kg, należy podać masę w zaokrągleniu do 1 kg.</w:t>
      </w:r>
    </w:p>
    <w:p>
      <w:pPr>
        <w:pStyle w:val="Normal"/>
        <w:spacing w:lineRule="auto" w:line="240"/>
        <w:ind w:right="-32" w:hanging="0"/>
        <w:rPr>
          <w:rFonts w:ascii="Arial" w:hAnsi="Arial" w:cs="Arial"/>
        </w:rPr>
      </w:pPr>
      <w:r>
        <w:rPr>
          <w:rFonts w:cs="Arial" w:ascii="Arial" w:hAnsi="Arial"/>
        </w:rPr>
        <w:t>17)  Dotyczy odpadów niebezpiecznych.</w:t>
      </w:r>
    </w:p>
    <w:p>
      <w:pPr>
        <w:pStyle w:val="Normal"/>
        <w:spacing w:lineRule="auto" w:line="240"/>
        <w:ind w:right="-32" w:hanging="0"/>
        <w:rPr>
          <w:rFonts w:ascii="Arial" w:hAnsi="Arial" w:cs="Arial"/>
        </w:rPr>
      </w:pPr>
      <w:r>
        <w:rPr>
          <w:rFonts w:cs="Arial" w:ascii="Arial" w:hAnsi="Arial"/>
        </w:rPr>
        <w:t>18)  W przypadku posiadacza odpadów przekazującego odpady rtęci metalicznej do czasowego składowania na składowisku odpadów niebezpiecznych przeznaczonym do czasowego składowania odpadów rtęci metalicznej oraz w przypadku zarządzającego składowiskiem odpadów niebezpiecznych przeznaczonym do czasowego składowania odpadów rtęci metalicznej przekazującego te odpady do dalszego unieszkodliwienia, należy podać numer certyfikatu oraz numery pojemników.</w:t>
      </w:r>
    </w:p>
    <w:p>
      <w:pPr>
        <w:sectPr>
          <w:headerReference w:type="default" r:id="rId64"/>
          <w:footerReference w:type="default" r:id="rId65"/>
          <w:footerReference w:type="first" r:id="rId66"/>
          <w:footnotePr>
            <w:numFmt w:val="decimal"/>
          </w:footnotePr>
          <w:type w:val="nextPage"/>
          <w:pgSz w:orient="landscape" w:w="16838" w:h="11906"/>
          <w:pgMar w:left="1418" w:right="1418" w:header="709" w:top="992" w:footer="709" w:bottom="1418" w:gutter="0"/>
          <w:pgNumType w:start="87" w:fmt="decimal"/>
          <w:formProt w:val="false"/>
          <w:titlePg/>
          <w:textDirection w:val="lrTb"/>
          <w:docGrid w:type="default" w:linePitch="360" w:charSpace="0"/>
        </w:sectPr>
        <w:pStyle w:val="Normal"/>
        <w:spacing w:lineRule="auto" w:line="240"/>
        <w:ind w:right="-32" w:hanging="0"/>
        <w:rPr>
          <w:rFonts w:ascii="Arial" w:hAnsi="Arial" w:cs="Arial"/>
        </w:rPr>
      </w:pPr>
      <w:r>
        <w:rPr>
          <w:rFonts w:cs="Arial" w:ascii="Arial" w:hAnsi="Arial"/>
        </w:rPr>
        <w:t>19)  Nie dotyczy dokumentu opatrzonego bezpiecznym podpisem elektronicznym.</w:t>
      </w:r>
    </w:p>
    <w:p>
      <w:pPr>
        <w:pStyle w:val="Normal"/>
        <w:spacing w:lineRule="auto" w:line="360" w:before="0" w:after="0"/>
        <w:rPr>
          <w:rFonts w:ascii="Arial" w:hAnsi="Arial" w:cs="Arial"/>
          <w:sz w:val="20"/>
          <w:szCs w:val="20"/>
          <w:vertAlign w:val="superscript"/>
        </w:rPr>
      </w:pPr>
      <w:r>
        <w:rPr>
          <w:rFonts w:cs="Arial" w:ascii="Arial" w:hAnsi="Arial"/>
          <w:sz w:val="20"/>
          <w:szCs w:val="20"/>
          <w:vertAlign w:val="superscript"/>
        </w:rPr>
      </w:r>
    </w:p>
    <w:p>
      <w:pPr>
        <w:pStyle w:val="Normal"/>
        <w:jc w:val="right"/>
        <w:rPr>
          <w:rFonts w:ascii="Arial" w:hAnsi="Arial" w:cs="Arial"/>
          <w:b/>
          <w:b/>
        </w:rPr>
      </w:pPr>
      <w:r>
        <w:rPr>
          <w:rFonts w:cs="Arial" w:ascii="Arial" w:hAnsi="Arial"/>
          <w:b/>
        </w:rPr>
        <w:t>Załącznik nr 7</w:t>
      </w:r>
    </w:p>
    <w:p>
      <w:pPr>
        <w:pStyle w:val="Normal"/>
        <w:shd w:val="clear" w:color="auto" w:fill="FFFFFF"/>
        <w:jc w:val="right"/>
        <w:rPr>
          <w:rFonts w:ascii="Arial" w:hAnsi="Arial" w:cs="Arial"/>
          <w:color w:val="000000"/>
          <w:sz w:val="23"/>
          <w:szCs w:val="23"/>
        </w:rPr>
      </w:pPr>
      <w:r>
        <w:rPr>
          <w:rFonts w:cs="Arial" w:ascii="Arial" w:hAnsi="Arial"/>
          <w:color w:val="000000"/>
          <w:sz w:val="23"/>
          <w:szCs w:val="23"/>
        </w:rPr>
        <w:t>…………………………</w:t>
      </w:r>
      <w:r>
        <w:rPr>
          <w:rFonts w:cs="Arial" w:ascii="Arial" w:hAnsi="Arial"/>
          <w:color w:val="000000"/>
          <w:sz w:val="23"/>
          <w:szCs w:val="23"/>
        </w:rPr>
        <w:t>., dnia……………………….</w:t>
      </w:r>
    </w:p>
    <w:p>
      <w:pPr>
        <w:pStyle w:val="Normal"/>
        <w:shd w:val="clear" w:color="auto" w:fill="FFFFFF"/>
        <w:spacing w:lineRule="auto" w:line="360"/>
        <w:rPr>
          <w:rFonts w:ascii="Arial" w:hAnsi="Arial" w:cs="Arial"/>
          <w:color w:val="000000"/>
          <w:sz w:val="23"/>
          <w:szCs w:val="23"/>
        </w:rPr>
      </w:pPr>
      <w:r>
        <w:rPr>
          <w:rFonts w:cs="Arial" w:ascii="Arial" w:hAnsi="Arial"/>
          <w:color w:val="000000"/>
          <w:sz w:val="23"/>
          <w:szCs w:val="23"/>
        </w:rPr>
        <w:t>………………………………………</w:t>
      </w:r>
      <w:r>
        <w:rPr>
          <w:rFonts w:cs="Arial" w:ascii="Arial" w:hAnsi="Arial"/>
          <w:color w:val="000000"/>
          <w:sz w:val="23"/>
          <w:szCs w:val="23"/>
        </w:rPr>
        <w:t>.</w:t>
      </w:r>
    </w:p>
    <w:p>
      <w:pPr>
        <w:pStyle w:val="Normal"/>
        <w:shd w:val="clear" w:color="auto" w:fill="FFFFFF"/>
        <w:spacing w:lineRule="auto" w:line="360"/>
        <w:rPr>
          <w:rFonts w:ascii="Arial" w:hAnsi="Arial" w:cs="Arial"/>
          <w:color w:val="000000"/>
          <w:sz w:val="23"/>
          <w:szCs w:val="23"/>
        </w:rPr>
      </w:pPr>
      <w:r>
        <w:rPr>
          <w:rFonts w:cs="Arial" w:ascii="Arial" w:hAnsi="Arial"/>
          <w:color w:val="000000"/>
          <w:sz w:val="23"/>
          <w:szCs w:val="23"/>
        </w:rPr>
        <w:t>………………………………………</w:t>
      </w:r>
      <w:r>
        <w:rPr>
          <w:rFonts w:cs="Arial" w:ascii="Arial" w:hAnsi="Arial"/>
          <w:color w:val="000000"/>
          <w:sz w:val="23"/>
          <w:szCs w:val="23"/>
        </w:rPr>
        <w:t>.</w:t>
      </w:r>
    </w:p>
    <w:p>
      <w:pPr>
        <w:pStyle w:val="Normal"/>
        <w:shd w:val="clear" w:color="auto" w:fill="FFFFFF"/>
        <w:spacing w:lineRule="auto" w:line="360"/>
        <w:rPr>
          <w:rFonts w:ascii="Arial" w:hAnsi="Arial" w:cs="Arial"/>
        </w:rPr>
      </w:pPr>
      <w:r>
        <w:rPr>
          <w:rFonts w:cs="Arial" w:ascii="Arial" w:hAnsi="Arial"/>
          <w:color w:val="000000"/>
          <w:sz w:val="23"/>
          <w:szCs w:val="23"/>
        </w:rPr>
        <w:t>………………………………………</w:t>
      </w:r>
      <w:r>
        <w:rPr>
          <w:rFonts w:cs="Arial" w:ascii="Arial" w:hAnsi="Arial"/>
          <w:color w:val="000000"/>
          <w:sz w:val="23"/>
          <w:szCs w:val="23"/>
        </w:rPr>
        <w:t>.</w:t>
      </w:r>
    </w:p>
    <w:p>
      <w:pPr>
        <w:pStyle w:val="Normal"/>
        <w:shd w:val="clear" w:color="auto" w:fill="FFFFFF"/>
        <w:rPr>
          <w:rFonts w:ascii="Arial" w:hAnsi="Arial" w:cs="Arial"/>
        </w:rPr>
      </w:pPr>
      <w:r>
        <w:rPr>
          <w:rFonts w:cs="Arial" w:ascii="Arial" w:hAnsi="Arial"/>
          <w:b/>
          <w:bCs/>
          <w:color w:val="000000"/>
          <w:sz w:val="16"/>
          <w:szCs w:val="16"/>
        </w:rPr>
        <w:t xml:space="preserve">(nazwa i adres wykonawcy prac </w:t>
      </w:r>
      <w:r>
        <w:rPr>
          <w:rFonts w:cs="Arial" w:ascii="Arial" w:hAnsi="Arial"/>
          <w:color w:val="000000"/>
          <w:sz w:val="16"/>
          <w:szCs w:val="16"/>
        </w:rPr>
        <w:t>nr telefonu)</w:t>
      </w:r>
    </w:p>
    <w:p>
      <w:pPr>
        <w:pStyle w:val="Normal"/>
        <w:shd w:val="clear" w:color="auto" w:fill="FFFFFF"/>
        <w:jc w:val="center"/>
        <w:rPr>
          <w:rFonts w:ascii="Arial" w:hAnsi="Arial" w:cs="Arial"/>
        </w:rPr>
      </w:pPr>
      <w:r>
        <w:rPr>
          <w:rFonts w:cs="Arial" w:ascii="Arial" w:hAnsi="Arial"/>
          <w:b/>
          <w:bCs/>
          <w:color w:val="000000"/>
        </w:rPr>
        <w:t>ZG</w:t>
      </w:r>
      <w:r>
        <w:rPr>
          <w:rFonts w:ascii="Arial" w:hAnsi="Arial"/>
          <w:b/>
          <w:bCs/>
          <w:color w:val="000000"/>
        </w:rPr>
        <w:t>Ł</w:t>
      </w:r>
      <w:r>
        <w:rPr>
          <w:rFonts w:cs="Arial" w:ascii="Arial" w:hAnsi="Arial"/>
          <w:b/>
          <w:bCs/>
          <w:color w:val="000000"/>
        </w:rPr>
        <w:t>OSZENIE</w:t>
      </w:r>
    </w:p>
    <w:p>
      <w:pPr>
        <w:pStyle w:val="Normal"/>
        <w:shd w:val="clear" w:color="auto" w:fill="FFFFFF"/>
        <w:jc w:val="center"/>
        <w:rPr>
          <w:rFonts w:ascii="Arial" w:hAnsi="Arial" w:cs="Arial"/>
          <w:b/>
          <w:b/>
          <w:bCs/>
          <w:color w:val="000000"/>
          <w:sz w:val="26"/>
          <w:szCs w:val="26"/>
        </w:rPr>
      </w:pPr>
      <w:r>
        <w:rPr>
          <w:rFonts w:cs="Arial" w:ascii="Arial" w:hAnsi="Arial"/>
          <w:b/>
          <w:bCs/>
          <w:color w:val="000000"/>
          <w:sz w:val="26"/>
          <w:szCs w:val="26"/>
        </w:rPr>
        <w:t>przyst</w:t>
      </w:r>
      <w:r>
        <w:rPr>
          <w:rFonts w:ascii="Arial" w:hAnsi="Arial"/>
          <w:b/>
          <w:bCs/>
          <w:color w:val="000000"/>
          <w:sz w:val="26"/>
          <w:szCs w:val="26"/>
        </w:rPr>
        <w:t>ą</w:t>
      </w:r>
      <w:r>
        <w:rPr>
          <w:rFonts w:cs="Arial" w:ascii="Arial" w:hAnsi="Arial"/>
          <w:b/>
          <w:bCs/>
          <w:color w:val="000000"/>
          <w:sz w:val="26"/>
          <w:szCs w:val="26"/>
        </w:rPr>
        <w:t>pienia do prac polegaj</w:t>
      </w:r>
      <w:r>
        <w:rPr>
          <w:rFonts w:ascii="Arial" w:hAnsi="Arial"/>
          <w:b/>
          <w:bCs/>
          <w:color w:val="000000"/>
          <w:sz w:val="26"/>
          <w:szCs w:val="26"/>
        </w:rPr>
        <w:t>ą</w:t>
      </w:r>
      <w:r>
        <w:rPr>
          <w:rFonts w:cs="Arial" w:ascii="Arial" w:hAnsi="Arial"/>
          <w:b/>
          <w:bCs/>
          <w:color w:val="000000"/>
          <w:sz w:val="26"/>
          <w:szCs w:val="26"/>
        </w:rPr>
        <w:t>cych na zabezpieczeniu/usuni</w:t>
      </w:r>
      <w:r>
        <w:rPr>
          <w:rFonts w:ascii="Arial" w:hAnsi="Arial"/>
          <w:b/>
          <w:bCs/>
          <w:color w:val="000000"/>
          <w:sz w:val="26"/>
          <w:szCs w:val="26"/>
        </w:rPr>
        <w:t>ę</w:t>
      </w:r>
      <w:r>
        <w:rPr>
          <w:rFonts w:cs="Arial" w:ascii="Arial" w:hAnsi="Arial"/>
          <w:b/>
          <w:bCs/>
          <w:color w:val="000000"/>
          <w:sz w:val="26"/>
          <w:szCs w:val="26"/>
        </w:rPr>
        <w:t>ciu* wyrob</w:t>
      </w:r>
      <w:r>
        <w:rPr>
          <w:rFonts w:ascii="Arial" w:hAnsi="Arial"/>
          <w:b/>
          <w:bCs/>
          <w:color w:val="000000"/>
          <w:sz w:val="26"/>
          <w:szCs w:val="26"/>
        </w:rPr>
        <w:t>ó</w:t>
      </w:r>
      <w:r>
        <w:rPr>
          <w:rFonts w:cs="Arial" w:ascii="Arial" w:hAnsi="Arial"/>
          <w:b/>
          <w:bCs/>
          <w:color w:val="000000"/>
          <w:sz w:val="26"/>
          <w:szCs w:val="26"/>
        </w:rPr>
        <w:t>w zawieraj</w:t>
      </w:r>
      <w:r>
        <w:rPr>
          <w:rFonts w:ascii="Arial" w:hAnsi="Arial"/>
          <w:b/>
          <w:bCs/>
          <w:color w:val="000000"/>
          <w:sz w:val="26"/>
          <w:szCs w:val="26"/>
        </w:rPr>
        <w:t>ą</w:t>
      </w:r>
      <w:r>
        <w:rPr>
          <w:rFonts w:cs="Arial" w:ascii="Arial" w:hAnsi="Arial"/>
          <w:b/>
          <w:bCs/>
          <w:color w:val="000000"/>
          <w:sz w:val="26"/>
          <w:szCs w:val="26"/>
        </w:rPr>
        <w:t>cych azbest.</w:t>
      </w:r>
    </w:p>
    <w:p>
      <w:pPr>
        <w:pStyle w:val="Normal"/>
        <w:shd w:val="clear" w:color="auto" w:fill="FFFFFF"/>
        <w:jc w:val="center"/>
        <w:rPr>
          <w:rFonts w:ascii="Arial" w:hAnsi="Arial" w:cs="Arial"/>
        </w:rPr>
      </w:pPr>
      <w:r>
        <w:rPr>
          <w:rFonts w:cs="Arial" w:ascii="Arial" w:hAnsi="Arial"/>
        </w:rPr>
      </w:r>
    </w:p>
    <w:p>
      <w:pPr>
        <w:pStyle w:val="Normal"/>
        <w:shd w:val="clear" w:color="auto" w:fill="FFFFFF"/>
        <w:ind w:firstLine="708"/>
        <w:jc w:val="both"/>
        <w:rPr>
          <w:rFonts w:ascii="Arial" w:hAnsi="Arial" w:cs="Arial"/>
        </w:rPr>
      </w:pPr>
      <w:r>
        <w:rPr>
          <w:rFonts w:cs="Arial" w:ascii="Arial" w:hAnsi="Arial"/>
          <w:color w:val="000000"/>
          <w:sz w:val="23"/>
          <w:szCs w:val="23"/>
        </w:rPr>
        <w:t xml:space="preserve">Zgodnie z wymogami </w:t>
      </w:r>
      <w:r>
        <w:rPr>
          <w:rFonts w:ascii="Arial" w:hAnsi="Arial"/>
          <w:color w:val="000000"/>
          <w:sz w:val="23"/>
          <w:szCs w:val="23"/>
        </w:rPr>
        <w:t>§</w:t>
      </w:r>
      <w:r>
        <w:rPr>
          <w:rFonts w:cs="Arial" w:ascii="Arial" w:hAnsi="Arial"/>
          <w:color w:val="000000"/>
          <w:sz w:val="23"/>
          <w:szCs w:val="23"/>
        </w:rPr>
        <w:t xml:space="preserve"> 6 ust. 2 i 3 rozporz</w:t>
      </w:r>
      <w:r>
        <w:rPr>
          <w:rFonts w:ascii="Arial" w:hAnsi="Arial"/>
          <w:color w:val="000000"/>
          <w:sz w:val="23"/>
          <w:szCs w:val="23"/>
        </w:rPr>
        <w:t>ą</w:t>
      </w:r>
      <w:r>
        <w:rPr>
          <w:rFonts w:cs="Arial" w:ascii="Arial" w:hAnsi="Arial"/>
          <w:color w:val="000000"/>
          <w:sz w:val="23"/>
          <w:szCs w:val="23"/>
        </w:rPr>
        <w:t>dzenia Ministra Gospodarki Pracy i Polityki Spo</w:t>
      </w:r>
      <w:r>
        <w:rPr>
          <w:rFonts w:ascii="Arial" w:hAnsi="Arial"/>
          <w:color w:val="000000"/>
          <w:sz w:val="23"/>
          <w:szCs w:val="23"/>
        </w:rPr>
        <w:t>ł</w:t>
      </w:r>
      <w:r>
        <w:rPr>
          <w:rFonts w:cs="Arial" w:ascii="Arial" w:hAnsi="Arial"/>
          <w:color w:val="000000"/>
          <w:sz w:val="23"/>
          <w:szCs w:val="23"/>
        </w:rPr>
        <w:t xml:space="preserve">ecznej z dnia 2 kwietnia 2004 r., </w:t>
      </w:r>
      <w:r>
        <w:rPr>
          <w:rFonts w:cs="Arial" w:ascii="Arial" w:hAnsi="Arial"/>
          <w:b/>
          <w:bCs/>
          <w:i/>
          <w:iCs/>
          <w:color w:val="000000"/>
          <w:sz w:val="23"/>
          <w:szCs w:val="23"/>
        </w:rPr>
        <w:t>w sprawie sposob</w:t>
      </w:r>
      <w:r>
        <w:rPr>
          <w:rFonts w:ascii="Arial" w:hAnsi="Arial"/>
          <w:b/>
          <w:bCs/>
          <w:i/>
          <w:iCs/>
          <w:color w:val="000000"/>
          <w:sz w:val="23"/>
          <w:szCs w:val="23"/>
        </w:rPr>
        <w:t>ó</w:t>
      </w:r>
      <w:r>
        <w:rPr>
          <w:rFonts w:cs="Arial" w:ascii="Arial" w:hAnsi="Arial"/>
          <w:b/>
          <w:bCs/>
          <w:i/>
          <w:iCs/>
          <w:color w:val="000000"/>
          <w:sz w:val="23"/>
          <w:szCs w:val="23"/>
        </w:rPr>
        <w:t>w i warunk</w:t>
      </w:r>
      <w:r>
        <w:rPr>
          <w:rFonts w:ascii="Arial" w:hAnsi="Arial"/>
          <w:b/>
          <w:bCs/>
          <w:i/>
          <w:iCs/>
          <w:color w:val="000000"/>
          <w:sz w:val="23"/>
          <w:szCs w:val="23"/>
        </w:rPr>
        <w:t>ó</w:t>
      </w:r>
      <w:r>
        <w:rPr>
          <w:rFonts w:cs="Arial" w:ascii="Arial" w:hAnsi="Arial"/>
          <w:b/>
          <w:bCs/>
          <w:i/>
          <w:iCs/>
          <w:color w:val="000000"/>
          <w:sz w:val="23"/>
          <w:szCs w:val="23"/>
        </w:rPr>
        <w:t>w bezpiecznego u</w:t>
      </w:r>
      <w:r>
        <w:rPr>
          <w:rFonts w:ascii="Arial" w:hAnsi="Arial"/>
          <w:b/>
          <w:bCs/>
          <w:i/>
          <w:iCs/>
          <w:color w:val="000000"/>
          <w:sz w:val="23"/>
          <w:szCs w:val="23"/>
        </w:rPr>
        <w:t>ż</w:t>
      </w:r>
      <w:r>
        <w:rPr>
          <w:rFonts w:cs="Arial" w:ascii="Arial" w:hAnsi="Arial"/>
          <w:b/>
          <w:bCs/>
          <w:i/>
          <w:iCs/>
          <w:color w:val="000000"/>
          <w:sz w:val="23"/>
          <w:szCs w:val="23"/>
        </w:rPr>
        <w:t>ytkowania i usuwania wyrob</w:t>
      </w:r>
      <w:r>
        <w:rPr>
          <w:rFonts w:ascii="Arial" w:hAnsi="Arial"/>
          <w:b/>
          <w:bCs/>
          <w:i/>
          <w:iCs/>
          <w:color w:val="000000"/>
          <w:sz w:val="23"/>
          <w:szCs w:val="23"/>
        </w:rPr>
        <w:t>ó</w:t>
      </w:r>
      <w:r>
        <w:rPr>
          <w:rFonts w:cs="Arial" w:ascii="Arial" w:hAnsi="Arial"/>
          <w:b/>
          <w:bCs/>
          <w:i/>
          <w:iCs/>
          <w:color w:val="000000"/>
          <w:sz w:val="23"/>
          <w:szCs w:val="23"/>
        </w:rPr>
        <w:t>w zawieraj</w:t>
      </w:r>
      <w:r>
        <w:rPr>
          <w:rFonts w:ascii="Arial" w:hAnsi="Arial"/>
          <w:b/>
          <w:bCs/>
          <w:i/>
          <w:iCs/>
          <w:color w:val="000000"/>
          <w:sz w:val="23"/>
          <w:szCs w:val="23"/>
        </w:rPr>
        <w:t>ą</w:t>
      </w:r>
      <w:r>
        <w:rPr>
          <w:rFonts w:cs="Arial" w:ascii="Arial" w:hAnsi="Arial"/>
          <w:b/>
          <w:bCs/>
          <w:i/>
          <w:iCs/>
          <w:color w:val="000000"/>
          <w:sz w:val="23"/>
          <w:szCs w:val="23"/>
        </w:rPr>
        <w:t>cych azbest</w:t>
      </w:r>
    </w:p>
    <w:p>
      <w:pPr>
        <w:pStyle w:val="Normal"/>
        <w:shd w:val="clear" w:color="auto" w:fill="FFFFFF"/>
        <w:jc w:val="both"/>
        <w:rPr>
          <w:rFonts w:ascii="Arial" w:hAnsi="Arial" w:cs="Arial"/>
        </w:rPr>
      </w:pPr>
      <w:r>
        <w:rPr>
          <w:rFonts w:cs="Arial" w:ascii="Arial" w:hAnsi="Arial"/>
          <w:color w:val="000000"/>
          <w:sz w:val="23"/>
          <w:szCs w:val="23"/>
        </w:rPr>
        <w:t>(Dz.U.  z  2004  r.  Nr  71  p</w:t>
      </w:r>
      <w:r>
        <w:rPr>
          <w:rFonts w:ascii="Arial" w:hAnsi="Arial"/>
          <w:color w:val="000000"/>
          <w:sz w:val="23"/>
          <w:szCs w:val="23"/>
        </w:rPr>
        <w:t>ó</w:t>
      </w:r>
      <w:r>
        <w:rPr>
          <w:rFonts w:cs="Arial" w:ascii="Arial" w:hAnsi="Arial"/>
          <w:color w:val="000000"/>
          <w:sz w:val="23"/>
          <w:szCs w:val="23"/>
        </w:rPr>
        <w:t>z.  649)  zg</w:t>
      </w:r>
      <w:r>
        <w:rPr>
          <w:rFonts w:ascii="Arial" w:hAnsi="Arial"/>
          <w:color w:val="000000"/>
          <w:sz w:val="23"/>
          <w:szCs w:val="23"/>
        </w:rPr>
        <w:t>ł</w:t>
      </w:r>
      <w:r>
        <w:rPr>
          <w:rFonts w:cs="Arial" w:ascii="Arial" w:hAnsi="Arial"/>
          <w:color w:val="000000"/>
          <w:sz w:val="23"/>
          <w:szCs w:val="23"/>
        </w:rPr>
        <w:t>aszam/y*  rozpocz</w:t>
      </w:r>
      <w:r>
        <w:rPr>
          <w:rFonts w:ascii="Arial" w:hAnsi="Arial"/>
          <w:color w:val="000000"/>
          <w:sz w:val="23"/>
          <w:szCs w:val="23"/>
        </w:rPr>
        <w:t>ę</w:t>
      </w:r>
      <w:r>
        <w:rPr>
          <w:rFonts w:cs="Arial" w:ascii="Arial" w:hAnsi="Arial"/>
          <w:color w:val="000000"/>
          <w:sz w:val="23"/>
          <w:szCs w:val="23"/>
        </w:rPr>
        <w:t>cie  prac  zwi</w:t>
      </w:r>
      <w:r>
        <w:rPr>
          <w:rFonts w:ascii="Arial" w:hAnsi="Arial"/>
          <w:color w:val="000000"/>
          <w:sz w:val="23"/>
          <w:szCs w:val="23"/>
        </w:rPr>
        <w:t>ą</w:t>
      </w:r>
      <w:r>
        <w:rPr>
          <w:rFonts w:cs="Arial" w:ascii="Arial" w:hAnsi="Arial"/>
          <w:color w:val="000000"/>
          <w:sz w:val="23"/>
          <w:szCs w:val="23"/>
        </w:rPr>
        <w:t>zanych z zabezpieczeniem/usuni</w:t>
      </w:r>
      <w:r>
        <w:rPr>
          <w:rFonts w:ascii="Arial" w:hAnsi="Arial"/>
          <w:color w:val="000000"/>
          <w:sz w:val="23"/>
          <w:szCs w:val="23"/>
        </w:rPr>
        <w:t>ę</w:t>
      </w:r>
      <w:r>
        <w:rPr>
          <w:rFonts w:cs="Arial" w:ascii="Arial" w:hAnsi="Arial"/>
          <w:color w:val="000000"/>
          <w:sz w:val="23"/>
          <w:szCs w:val="23"/>
        </w:rPr>
        <w:t>ciem* wyrob</w:t>
      </w:r>
      <w:r>
        <w:rPr>
          <w:rFonts w:ascii="Arial" w:hAnsi="Arial"/>
          <w:color w:val="000000"/>
          <w:sz w:val="23"/>
          <w:szCs w:val="23"/>
        </w:rPr>
        <w:t>ó</w:t>
      </w:r>
      <w:r>
        <w:rPr>
          <w:rFonts w:cs="Arial" w:ascii="Arial" w:hAnsi="Arial"/>
          <w:color w:val="000000"/>
          <w:sz w:val="23"/>
          <w:szCs w:val="23"/>
        </w:rPr>
        <w:t>w zawieraj</w:t>
      </w:r>
      <w:r>
        <w:rPr>
          <w:rFonts w:ascii="Arial" w:hAnsi="Arial"/>
          <w:color w:val="000000"/>
          <w:sz w:val="23"/>
          <w:szCs w:val="23"/>
        </w:rPr>
        <w:t>ą</w:t>
      </w:r>
      <w:r>
        <w:rPr>
          <w:rFonts w:cs="Arial" w:ascii="Arial" w:hAnsi="Arial"/>
          <w:color w:val="000000"/>
          <w:sz w:val="23"/>
          <w:szCs w:val="23"/>
        </w:rPr>
        <w:t>cych azbest na podstawie decyzji</w:t>
      </w:r>
    </w:p>
    <w:p>
      <w:pPr>
        <w:pStyle w:val="Normal"/>
        <w:shd w:val="clear" w:color="auto" w:fill="FFFFFF"/>
        <w:spacing w:lineRule="auto" w:line="360"/>
        <w:jc w:val="both"/>
        <w:rPr>
          <w:rFonts w:ascii="Arial" w:hAnsi="Arial" w:cs="Arial"/>
        </w:rPr>
      </w:pPr>
      <w:r>
        <w:rPr>
          <w:rFonts w:cs="Arial" w:ascii="Arial" w:hAnsi="Arial"/>
          <w:color w:val="000000"/>
          <w:sz w:val="23"/>
          <w:szCs w:val="23"/>
        </w:rPr>
        <w:t>......................................................................................z dnia........................................</w:t>
      </w:r>
    </w:p>
    <w:p>
      <w:pPr>
        <w:pStyle w:val="Normal"/>
        <w:shd w:val="clear" w:color="auto" w:fill="FFFFFF"/>
        <w:spacing w:lineRule="auto" w:line="360"/>
        <w:jc w:val="both"/>
        <w:rPr>
          <w:rFonts w:ascii="Arial" w:hAnsi="Arial" w:cs="Arial"/>
        </w:rPr>
      </w:pPr>
      <w:r>
        <w:rPr>
          <w:rFonts w:cs="Arial" w:ascii="Arial" w:hAnsi="Arial"/>
          <w:color w:val="000000"/>
          <w:sz w:val="23"/>
          <w:szCs w:val="23"/>
        </w:rPr>
        <w:t>Nr  .........................................................  zatwierdzaj</w:t>
      </w:r>
      <w:r>
        <w:rPr>
          <w:rFonts w:ascii="Arial" w:hAnsi="Arial"/>
          <w:color w:val="000000"/>
          <w:sz w:val="23"/>
          <w:szCs w:val="23"/>
        </w:rPr>
        <w:t>ą</w:t>
      </w:r>
      <w:r>
        <w:rPr>
          <w:rFonts w:cs="Arial" w:ascii="Arial" w:hAnsi="Arial"/>
          <w:color w:val="000000"/>
          <w:sz w:val="23"/>
          <w:szCs w:val="23"/>
        </w:rPr>
        <w:t>cej  program  gospodarowania</w:t>
      </w:r>
    </w:p>
    <w:p>
      <w:pPr>
        <w:pStyle w:val="Normal"/>
        <w:shd w:val="clear" w:color="auto" w:fill="FFFFFF"/>
        <w:jc w:val="both"/>
        <w:rPr>
          <w:rFonts w:ascii="Arial" w:hAnsi="Arial" w:cs="Arial"/>
        </w:rPr>
      </w:pPr>
      <w:r>
        <w:rPr>
          <w:rFonts w:cs="Arial" w:ascii="Arial" w:hAnsi="Arial"/>
          <w:color w:val="000000"/>
          <w:sz w:val="23"/>
          <w:szCs w:val="23"/>
        </w:rPr>
        <w:t>odpadami niebezpiecznymi w..........................................................................................</w:t>
      </w:r>
    </w:p>
    <w:p>
      <w:pPr>
        <w:pStyle w:val="Normal"/>
        <w:shd w:val="clear" w:color="auto" w:fill="FFFFFF"/>
        <w:jc w:val="both"/>
        <w:rPr>
          <w:rFonts w:ascii="Arial" w:hAnsi="Arial" w:cs="Arial"/>
          <w:color w:val="000000"/>
          <w:sz w:val="18"/>
          <w:szCs w:val="18"/>
        </w:rPr>
      </w:pPr>
      <w:r>
        <w:rPr>
          <w:rFonts w:cs="Arial" w:ascii="Arial" w:hAnsi="Arial"/>
          <w:color w:val="000000"/>
          <w:sz w:val="18"/>
          <w:szCs w:val="18"/>
        </w:rPr>
        <w:t xml:space="preserve">                                 </w:t>
      </w:r>
      <w:r>
        <w:rPr>
          <w:rFonts w:cs="Arial" w:ascii="Arial" w:hAnsi="Arial"/>
          <w:color w:val="000000"/>
          <w:sz w:val="18"/>
          <w:szCs w:val="18"/>
        </w:rPr>
        <w:t>(rodzaj obiektu/urz</w:t>
      </w:r>
      <w:r>
        <w:rPr>
          <w:rFonts w:ascii="Arial" w:hAnsi="Arial"/>
          <w:color w:val="000000"/>
          <w:sz w:val="18"/>
          <w:szCs w:val="18"/>
        </w:rPr>
        <w:t>ą</w:t>
      </w:r>
      <w:r>
        <w:rPr>
          <w:rFonts w:cs="Arial" w:ascii="Arial" w:hAnsi="Arial"/>
          <w:color w:val="000000"/>
          <w:sz w:val="18"/>
          <w:szCs w:val="18"/>
        </w:rPr>
        <w:t>dzenia budowlanego/instalacji przemys</w:t>
      </w:r>
      <w:r>
        <w:rPr>
          <w:rFonts w:ascii="Arial" w:hAnsi="Arial"/>
          <w:color w:val="000000"/>
          <w:sz w:val="18"/>
          <w:szCs w:val="18"/>
        </w:rPr>
        <w:t>ł</w:t>
      </w:r>
      <w:r>
        <w:rPr>
          <w:rFonts w:cs="Arial" w:ascii="Arial" w:hAnsi="Arial"/>
          <w:color w:val="000000"/>
          <w:sz w:val="18"/>
          <w:szCs w:val="18"/>
        </w:rPr>
        <w:t>owej)</w:t>
      </w:r>
    </w:p>
    <w:p>
      <w:pPr>
        <w:pStyle w:val="Normal"/>
        <w:shd w:val="clear" w:color="auto" w:fill="FFFFFF"/>
        <w:jc w:val="both"/>
        <w:rPr>
          <w:rFonts w:ascii="Arial" w:hAnsi="Arial" w:cs="Arial"/>
          <w:color w:val="000000"/>
          <w:sz w:val="18"/>
          <w:szCs w:val="18"/>
        </w:rPr>
      </w:pPr>
      <w:r>
        <w:rPr>
          <w:rFonts w:cs="Arial" w:ascii="Arial" w:hAnsi="Arial"/>
          <w:color w:val="000000"/>
          <w:sz w:val="18"/>
          <w:szCs w:val="18"/>
        </w:rPr>
      </w:r>
    </w:p>
    <w:p>
      <w:pPr>
        <w:pStyle w:val="Normal"/>
        <w:shd w:val="clear" w:color="auto" w:fill="FFFFFF"/>
        <w:spacing w:lineRule="auto" w:line="360"/>
        <w:jc w:val="both"/>
        <w:rPr>
          <w:rFonts w:ascii="Arial" w:hAnsi="Arial" w:cs="Arial"/>
        </w:rPr>
      </w:pPr>
      <w:r>
        <w:rPr>
          <w:rFonts w:cs="Arial" w:ascii="Arial" w:hAnsi="Arial"/>
          <w:color w:val="000000"/>
          <w:sz w:val="23"/>
          <w:szCs w:val="23"/>
        </w:rPr>
        <w:t>na nieruchomo</w:t>
      </w:r>
      <w:r>
        <w:rPr>
          <w:rFonts w:ascii="Arial" w:hAnsi="Arial"/>
          <w:color w:val="000000"/>
          <w:sz w:val="23"/>
          <w:szCs w:val="23"/>
        </w:rPr>
        <w:t>ś</w:t>
      </w:r>
      <w:r>
        <w:rPr>
          <w:rFonts w:cs="Arial" w:ascii="Arial" w:hAnsi="Arial"/>
          <w:color w:val="000000"/>
          <w:sz w:val="23"/>
          <w:szCs w:val="23"/>
        </w:rPr>
        <w:t>ci po</w:t>
      </w:r>
      <w:r>
        <w:rPr>
          <w:rFonts w:ascii="Arial" w:hAnsi="Arial"/>
          <w:color w:val="000000"/>
          <w:sz w:val="23"/>
          <w:szCs w:val="23"/>
        </w:rPr>
        <w:t>ł</w:t>
      </w:r>
      <w:r>
        <w:rPr>
          <w:rFonts w:cs="Arial" w:ascii="Arial" w:hAnsi="Arial"/>
          <w:color w:val="000000"/>
          <w:sz w:val="23"/>
          <w:szCs w:val="23"/>
        </w:rPr>
        <w:t>o</w:t>
      </w:r>
      <w:r>
        <w:rPr>
          <w:rFonts w:ascii="Arial" w:hAnsi="Arial"/>
          <w:color w:val="000000"/>
          <w:sz w:val="23"/>
          <w:szCs w:val="23"/>
        </w:rPr>
        <w:t>ż</w:t>
      </w:r>
      <w:r>
        <w:rPr>
          <w:rFonts w:cs="Arial" w:ascii="Arial" w:hAnsi="Arial"/>
          <w:color w:val="000000"/>
          <w:sz w:val="23"/>
          <w:szCs w:val="23"/>
        </w:rPr>
        <w:t>onej w............................................................................................</w:t>
      </w:r>
    </w:p>
    <w:p>
      <w:pPr>
        <w:pStyle w:val="Normal"/>
        <w:shd w:val="clear" w:color="auto" w:fill="FFFFFF"/>
        <w:spacing w:lineRule="auto" w:line="360"/>
        <w:jc w:val="both"/>
        <w:rPr>
          <w:rFonts w:ascii="Arial" w:hAnsi="Arial" w:cs="Arial"/>
        </w:rPr>
      </w:pPr>
      <w:r>
        <w:rPr>
          <w:rFonts w:cs="Arial" w:ascii="Arial" w:hAnsi="Arial"/>
          <w:color w:val="000000"/>
          <w:sz w:val="23"/>
          <w:szCs w:val="23"/>
        </w:rPr>
        <w:t>przy ulicy..............................................................................nr...........................................,</w:t>
      </w:r>
    </w:p>
    <w:p>
      <w:pPr>
        <w:pStyle w:val="Normal"/>
        <w:shd w:val="clear" w:color="auto" w:fill="FFFFFF"/>
        <w:spacing w:lineRule="auto" w:line="360"/>
        <w:jc w:val="both"/>
        <w:rPr>
          <w:rFonts w:ascii="Arial" w:hAnsi="Arial"/>
          <w:color w:val="000000"/>
          <w:sz w:val="23"/>
          <w:szCs w:val="23"/>
        </w:rPr>
      </w:pPr>
      <w:r>
        <w:rPr>
          <w:rFonts w:cs="Arial" w:ascii="Arial" w:hAnsi="Arial"/>
          <w:color w:val="000000"/>
          <w:sz w:val="23"/>
          <w:szCs w:val="23"/>
        </w:rPr>
        <w:t>nr ewidencyjny dzia</w:t>
      </w:r>
      <w:r>
        <w:rPr>
          <w:rFonts w:ascii="Arial" w:hAnsi="Arial"/>
          <w:color w:val="000000"/>
          <w:sz w:val="23"/>
          <w:szCs w:val="23"/>
        </w:rPr>
        <w:t>ł</w:t>
      </w:r>
      <w:r>
        <w:rPr>
          <w:rFonts w:cs="Arial" w:ascii="Arial" w:hAnsi="Arial"/>
          <w:color w:val="000000"/>
          <w:sz w:val="23"/>
          <w:szCs w:val="23"/>
        </w:rPr>
        <w:t>ki.......................................stanowi</w:t>
      </w:r>
      <w:r>
        <w:rPr>
          <w:rFonts w:ascii="Arial" w:hAnsi="Arial"/>
          <w:color w:val="000000"/>
          <w:sz w:val="23"/>
          <w:szCs w:val="23"/>
        </w:rPr>
        <w:t>ą</w:t>
      </w:r>
      <w:r>
        <w:rPr>
          <w:rFonts w:cs="Arial" w:ascii="Arial" w:hAnsi="Arial"/>
          <w:color w:val="000000"/>
          <w:sz w:val="23"/>
          <w:szCs w:val="23"/>
        </w:rPr>
        <w:t>cej w</w:t>
      </w:r>
      <w:r>
        <w:rPr>
          <w:rFonts w:ascii="Arial" w:hAnsi="Arial"/>
          <w:color w:val="000000"/>
          <w:sz w:val="23"/>
          <w:szCs w:val="23"/>
        </w:rPr>
        <w:t>ł</w:t>
      </w:r>
      <w:r>
        <w:rPr>
          <w:rFonts w:cs="Arial" w:ascii="Arial" w:hAnsi="Arial"/>
          <w:color w:val="000000"/>
          <w:sz w:val="23"/>
          <w:szCs w:val="23"/>
        </w:rPr>
        <w:t>asno</w:t>
      </w:r>
      <w:r>
        <w:rPr>
          <w:rFonts w:ascii="Arial" w:hAnsi="Arial"/>
          <w:color w:val="000000"/>
          <w:sz w:val="23"/>
          <w:szCs w:val="23"/>
        </w:rPr>
        <w:t>ść …………………….</w:t>
      </w:r>
    </w:p>
    <w:p>
      <w:pPr>
        <w:pStyle w:val="Normal"/>
        <w:shd w:val="clear" w:color="auto" w:fill="FFFFFF"/>
        <w:spacing w:lineRule="auto" w:line="360"/>
        <w:jc w:val="both"/>
        <w:rPr>
          <w:rFonts w:ascii="Arial" w:hAnsi="Arial" w:cs="Arial"/>
        </w:rPr>
      </w:pPr>
      <w:r>
        <w:rPr>
          <w:rFonts w:ascii="Arial" w:hAnsi="Arial"/>
          <w:color w:val="000000"/>
          <w:sz w:val="23"/>
          <w:szCs w:val="23"/>
        </w:rPr>
        <w:t>……………………………………………………………………………………………………</w:t>
      </w:r>
      <w:r>
        <w:rPr>
          <w:rFonts w:ascii="Arial" w:hAnsi="Arial"/>
          <w:color w:val="000000"/>
          <w:sz w:val="23"/>
          <w:szCs w:val="23"/>
        </w:rPr>
        <w:t>..</w:t>
      </w:r>
    </w:p>
    <w:p>
      <w:pPr>
        <w:pStyle w:val="Normal"/>
        <w:shd w:val="clear" w:color="auto" w:fill="FFFFFF"/>
        <w:spacing w:lineRule="auto" w:line="360"/>
        <w:jc w:val="both"/>
        <w:rPr>
          <w:rFonts w:ascii="Arial" w:hAnsi="Arial" w:cs="Arial"/>
        </w:rPr>
      </w:pPr>
      <w:r>
        <w:rPr>
          <w:rFonts w:cs="Arial" w:ascii="Arial" w:hAnsi="Arial"/>
          <w:color w:val="000000"/>
          <w:sz w:val="23"/>
          <w:szCs w:val="23"/>
        </w:rPr>
        <w:t>1.    Rodzaj i nazwa wyrobu (g</w:t>
      </w:r>
      <w:r>
        <w:rPr>
          <w:rFonts w:ascii="Arial" w:hAnsi="Arial"/>
          <w:color w:val="000000"/>
          <w:sz w:val="23"/>
          <w:szCs w:val="23"/>
        </w:rPr>
        <w:t>ę</w:t>
      </w:r>
      <w:r>
        <w:rPr>
          <w:rFonts w:cs="Arial" w:ascii="Arial" w:hAnsi="Arial"/>
          <w:color w:val="000000"/>
          <w:sz w:val="23"/>
          <w:szCs w:val="23"/>
        </w:rPr>
        <w:t>sto</w:t>
      </w:r>
      <w:r>
        <w:rPr>
          <w:rFonts w:ascii="Arial" w:hAnsi="Arial"/>
          <w:color w:val="000000"/>
          <w:sz w:val="23"/>
          <w:szCs w:val="23"/>
        </w:rPr>
        <w:t>ść</w:t>
      </w:r>
      <w:r>
        <w:rPr>
          <w:rFonts w:cs="Arial" w:ascii="Arial" w:hAnsi="Arial"/>
          <w:color w:val="000000"/>
          <w:sz w:val="23"/>
          <w:szCs w:val="23"/>
        </w:rPr>
        <w:t xml:space="preserve"> obj</w:t>
      </w:r>
      <w:r>
        <w:rPr>
          <w:rFonts w:ascii="Arial" w:hAnsi="Arial"/>
          <w:color w:val="000000"/>
          <w:sz w:val="23"/>
          <w:szCs w:val="23"/>
        </w:rPr>
        <w:t>ę</w:t>
      </w:r>
      <w:r>
        <w:rPr>
          <w:rFonts w:cs="Arial" w:ascii="Arial" w:hAnsi="Arial"/>
          <w:color w:val="000000"/>
          <w:sz w:val="23"/>
          <w:szCs w:val="23"/>
        </w:rPr>
        <w:t>to</w:t>
      </w:r>
      <w:r>
        <w:rPr>
          <w:rFonts w:ascii="Arial" w:hAnsi="Arial"/>
          <w:color w:val="000000"/>
          <w:sz w:val="23"/>
          <w:szCs w:val="23"/>
        </w:rPr>
        <w:t>ś</w:t>
      </w:r>
      <w:r>
        <w:rPr>
          <w:rFonts w:cs="Arial" w:ascii="Arial" w:hAnsi="Arial"/>
          <w:color w:val="000000"/>
          <w:sz w:val="23"/>
          <w:szCs w:val="23"/>
        </w:rPr>
        <w:t>ciowa i ilo</w:t>
      </w:r>
      <w:r>
        <w:rPr>
          <w:rFonts w:ascii="Arial" w:hAnsi="Arial"/>
          <w:color w:val="000000"/>
          <w:sz w:val="23"/>
          <w:szCs w:val="23"/>
        </w:rPr>
        <w:t>ść</w:t>
      </w:r>
      <w:r>
        <w:rPr>
          <w:rFonts w:cs="Arial" w:ascii="Arial" w:hAnsi="Arial"/>
          <w:color w:val="000000"/>
          <w:sz w:val="23"/>
          <w:szCs w:val="23"/>
        </w:rPr>
        <w:t>)...........................................</w:t>
      </w:r>
    </w:p>
    <w:p>
      <w:pPr>
        <w:pStyle w:val="Normal"/>
        <w:shd w:val="clear" w:color="auto" w:fill="FFFFFF"/>
        <w:spacing w:lineRule="auto" w:line="360"/>
        <w:jc w:val="both"/>
        <w:rPr>
          <w:rFonts w:ascii="Arial" w:hAnsi="Arial" w:cs="Arial"/>
        </w:rPr>
      </w:pPr>
      <w:r>
        <w:rPr>
          <w:rFonts w:cs="Arial" w:ascii="Arial" w:hAnsi="Arial"/>
          <w:color w:val="000000"/>
          <w:sz w:val="23"/>
          <w:szCs w:val="23"/>
        </w:rPr>
        <w:t>2.    Termin rozpocz</w:t>
      </w:r>
      <w:r>
        <w:rPr>
          <w:rFonts w:ascii="Arial" w:hAnsi="Arial"/>
          <w:color w:val="000000"/>
          <w:sz w:val="23"/>
          <w:szCs w:val="23"/>
        </w:rPr>
        <w:t>ę</w:t>
      </w:r>
      <w:r>
        <w:rPr>
          <w:rFonts w:cs="Arial" w:ascii="Arial" w:hAnsi="Arial"/>
          <w:color w:val="000000"/>
          <w:sz w:val="23"/>
          <w:szCs w:val="23"/>
        </w:rPr>
        <w:t>cia prac........................................................................................</w:t>
      </w:r>
    </w:p>
    <w:p>
      <w:pPr>
        <w:pStyle w:val="Normal"/>
        <w:shd w:val="clear" w:color="auto" w:fill="FFFFFF"/>
        <w:spacing w:lineRule="auto" w:line="360"/>
        <w:jc w:val="both"/>
        <w:rPr>
          <w:rFonts w:ascii="Arial" w:hAnsi="Arial" w:cs="Arial"/>
        </w:rPr>
      </w:pPr>
      <w:r>
        <w:rPr>
          <w:rFonts w:cs="Arial" w:ascii="Arial" w:hAnsi="Arial"/>
          <w:color w:val="000000"/>
        </w:rPr>
        <w:t>3.    Termin zako</w:t>
      </w:r>
      <w:r>
        <w:rPr>
          <w:rFonts w:ascii="Arial" w:hAnsi="Arial"/>
          <w:color w:val="000000"/>
        </w:rPr>
        <w:t>ń</w:t>
      </w:r>
      <w:r>
        <w:rPr>
          <w:rFonts w:cs="Arial" w:ascii="Arial" w:hAnsi="Arial"/>
          <w:color w:val="000000"/>
        </w:rPr>
        <w:t>czenia prac.................................................................................</w:t>
      </w:r>
    </w:p>
    <w:p>
      <w:pPr>
        <w:pStyle w:val="Normal"/>
        <w:shd w:val="clear" w:color="auto" w:fill="FFFFFF"/>
        <w:spacing w:lineRule="auto" w:line="360"/>
        <w:jc w:val="both"/>
        <w:rPr>
          <w:rFonts w:ascii="Arial" w:hAnsi="Arial" w:cs="Arial"/>
          <w:color w:val="000000"/>
          <w:sz w:val="23"/>
          <w:szCs w:val="23"/>
        </w:rPr>
      </w:pPr>
      <w:r>
        <w:rPr>
          <w:rFonts w:cs="Arial" w:ascii="Arial" w:hAnsi="Arial"/>
          <w:color w:val="000000"/>
          <w:sz w:val="23"/>
          <w:szCs w:val="23"/>
        </w:rPr>
        <w:t>4.    Liczba pracownik</w:t>
      </w:r>
      <w:r>
        <w:rPr>
          <w:rFonts w:ascii="Arial" w:hAnsi="Arial"/>
          <w:color w:val="000000"/>
          <w:sz w:val="23"/>
          <w:szCs w:val="23"/>
        </w:rPr>
        <w:t>ó</w:t>
      </w:r>
      <w:r>
        <w:rPr>
          <w:rFonts w:cs="Arial" w:ascii="Arial" w:hAnsi="Arial"/>
          <w:color w:val="000000"/>
          <w:sz w:val="23"/>
          <w:szCs w:val="23"/>
        </w:rPr>
        <w:t>w, kt</w:t>
      </w:r>
      <w:r>
        <w:rPr>
          <w:rFonts w:ascii="Arial" w:hAnsi="Arial"/>
          <w:color w:val="000000"/>
          <w:sz w:val="23"/>
          <w:szCs w:val="23"/>
        </w:rPr>
        <w:t>ó</w:t>
      </w:r>
      <w:r>
        <w:rPr>
          <w:rFonts w:cs="Arial" w:ascii="Arial" w:hAnsi="Arial"/>
          <w:color w:val="000000"/>
          <w:sz w:val="23"/>
          <w:szCs w:val="23"/>
        </w:rPr>
        <w:t>rzy przebywa</w:t>
      </w:r>
      <w:r>
        <w:rPr>
          <w:rFonts w:ascii="Arial" w:hAnsi="Arial"/>
          <w:color w:val="000000"/>
          <w:sz w:val="23"/>
          <w:szCs w:val="23"/>
        </w:rPr>
        <w:t>ć</w:t>
      </w:r>
      <w:r>
        <w:rPr>
          <w:rFonts w:cs="Arial" w:ascii="Arial" w:hAnsi="Arial"/>
          <w:color w:val="000000"/>
          <w:sz w:val="23"/>
          <w:szCs w:val="23"/>
        </w:rPr>
        <w:t xml:space="preserve"> b</w:t>
      </w:r>
      <w:r>
        <w:rPr>
          <w:rFonts w:ascii="Arial" w:hAnsi="Arial"/>
          <w:color w:val="000000"/>
          <w:sz w:val="23"/>
          <w:szCs w:val="23"/>
        </w:rPr>
        <w:t>ę</w:t>
      </w:r>
      <w:r>
        <w:rPr>
          <w:rFonts w:cs="Arial" w:ascii="Arial" w:hAnsi="Arial"/>
          <w:color w:val="000000"/>
          <w:sz w:val="23"/>
          <w:szCs w:val="23"/>
        </w:rPr>
        <w:t>d</w:t>
      </w:r>
      <w:r>
        <w:rPr>
          <w:rFonts w:ascii="Arial" w:hAnsi="Arial"/>
          <w:color w:val="000000"/>
          <w:sz w:val="23"/>
          <w:szCs w:val="23"/>
        </w:rPr>
        <w:t>ą</w:t>
      </w:r>
      <w:r>
        <w:rPr>
          <w:rFonts w:cs="Arial" w:ascii="Arial" w:hAnsi="Arial"/>
          <w:color w:val="000000"/>
          <w:sz w:val="23"/>
          <w:szCs w:val="23"/>
        </w:rPr>
        <w:t xml:space="preserve"> w kontakcie z azbestem ………….</w:t>
      </w:r>
    </w:p>
    <w:p>
      <w:pPr>
        <w:pStyle w:val="Normal"/>
        <w:shd w:val="clear" w:color="auto" w:fill="FFFFFF"/>
        <w:spacing w:lineRule="auto" w:line="360"/>
        <w:jc w:val="both"/>
        <w:rPr>
          <w:rFonts w:ascii="Arial" w:hAnsi="Arial" w:cs="Arial"/>
        </w:rPr>
      </w:pPr>
      <w:r>
        <w:rPr>
          <w:rFonts w:cs="Arial" w:ascii="Arial" w:hAnsi="Arial"/>
        </w:rPr>
      </w:r>
    </w:p>
    <w:p>
      <w:pPr>
        <w:pStyle w:val="Normal"/>
        <w:shd w:val="clear" w:color="auto" w:fill="FFFFFF"/>
        <w:spacing w:lineRule="auto" w:line="360"/>
        <w:jc w:val="both"/>
        <w:rPr>
          <w:rFonts w:ascii="Arial" w:hAnsi="Arial" w:cs="Arial"/>
          <w:color w:val="000000"/>
          <w:sz w:val="23"/>
          <w:szCs w:val="23"/>
        </w:rPr>
      </w:pPr>
      <w:r>
        <w:rPr>
          <w:rFonts w:cs="Arial" w:ascii="Arial" w:hAnsi="Arial"/>
          <w:color w:val="000000"/>
          <w:sz w:val="23"/>
          <w:szCs w:val="23"/>
        </w:rPr>
        <w:t>Zobowi</w:t>
      </w:r>
      <w:r>
        <w:rPr>
          <w:rFonts w:ascii="Arial" w:hAnsi="Arial"/>
          <w:color w:val="000000"/>
          <w:sz w:val="23"/>
          <w:szCs w:val="23"/>
        </w:rPr>
        <w:t>ą</w:t>
      </w:r>
      <w:r>
        <w:rPr>
          <w:rFonts w:cs="Arial" w:ascii="Arial" w:hAnsi="Arial"/>
          <w:color w:val="000000"/>
          <w:sz w:val="23"/>
          <w:szCs w:val="23"/>
        </w:rPr>
        <w:t>zuj</w:t>
      </w:r>
      <w:r>
        <w:rPr>
          <w:rFonts w:ascii="Arial" w:hAnsi="Arial"/>
          <w:color w:val="000000"/>
          <w:sz w:val="23"/>
          <w:szCs w:val="23"/>
        </w:rPr>
        <w:t>ę</w:t>
      </w:r>
      <w:r>
        <w:rPr>
          <w:rFonts w:cs="Arial" w:ascii="Arial" w:hAnsi="Arial"/>
          <w:color w:val="000000"/>
          <w:sz w:val="23"/>
          <w:szCs w:val="23"/>
        </w:rPr>
        <w:t>/my*  si</w:t>
      </w:r>
      <w:r>
        <w:rPr>
          <w:rFonts w:ascii="Arial" w:hAnsi="Arial"/>
          <w:color w:val="000000"/>
          <w:sz w:val="23"/>
          <w:szCs w:val="23"/>
        </w:rPr>
        <w:t>ę</w:t>
      </w:r>
      <w:r>
        <w:rPr>
          <w:rFonts w:cs="Arial" w:ascii="Arial" w:hAnsi="Arial"/>
          <w:color w:val="000000"/>
          <w:sz w:val="23"/>
          <w:szCs w:val="23"/>
        </w:rPr>
        <w:t xml:space="preserve"> do  przed</w:t>
      </w:r>
      <w:r>
        <w:rPr>
          <w:rFonts w:ascii="Arial" w:hAnsi="Arial"/>
          <w:color w:val="000000"/>
          <w:sz w:val="23"/>
          <w:szCs w:val="23"/>
        </w:rPr>
        <w:t>ł</w:t>
      </w:r>
      <w:r>
        <w:rPr>
          <w:rFonts w:cs="Arial" w:ascii="Arial" w:hAnsi="Arial"/>
          <w:color w:val="000000"/>
          <w:sz w:val="23"/>
          <w:szCs w:val="23"/>
        </w:rPr>
        <w:t>o</w:t>
      </w:r>
      <w:r>
        <w:rPr>
          <w:rFonts w:ascii="Arial" w:hAnsi="Arial"/>
          <w:color w:val="000000"/>
          <w:sz w:val="23"/>
          <w:szCs w:val="23"/>
        </w:rPr>
        <w:t>ż</w:t>
      </w:r>
      <w:r>
        <w:rPr>
          <w:rFonts w:cs="Arial" w:ascii="Arial" w:hAnsi="Arial"/>
          <w:color w:val="000000"/>
          <w:sz w:val="23"/>
          <w:szCs w:val="23"/>
        </w:rPr>
        <w:t>enia  nowego zg</w:t>
      </w:r>
      <w:r>
        <w:rPr>
          <w:rFonts w:ascii="Arial" w:hAnsi="Arial"/>
          <w:color w:val="000000"/>
          <w:sz w:val="23"/>
          <w:szCs w:val="23"/>
        </w:rPr>
        <w:t>ł</w:t>
      </w:r>
      <w:r>
        <w:rPr>
          <w:rFonts w:cs="Arial" w:ascii="Arial" w:hAnsi="Arial"/>
          <w:color w:val="000000"/>
          <w:sz w:val="23"/>
          <w:szCs w:val="23"/>
        </w:rPr>
        <w:t>oszenia  w  przypadku  zmiany warunk</w:t>
      </w:r>
      <w:r>
        <w:rPr>
          <w:rFonts w:ascii="Arial" w:hAnsi="Arial"/>
          <w:color w:val="000000"/>
          <w:sz w:val="23"/>
          <w:szCs w:val="23"/>
        </w:rPr>
        <w:t>ó</w:t>
      </w:r>
      <w:r>
        <w:rPr>
          <w:rFonts w:cs="Arial" w:ascii="Arial" w:hAnsi="Arial"/>
          <w:color w:val="000000"/>
          <w:sz w:val="23"/>
          <w:szCs w:val="23"/>
        </w:rPr>
        <w:t>w prowadzenia rob</w:t>
      </w:r>
      <w:r>
        <w:rPr>
          <w:rFonts w:ascii="Arial" w:hAnsi="Arial"/>
          <w:color w:val="000000"/>
          <w:sz w:val="23"/>
          <w:szCs w:val="23"/>
        </w:rPr>
        <w:t>ó</w:t>
      </w:r>
      <w:r>
        <w:rPr>
          <w:rFonts w:cs="Arial" w:ascii="Arial" w:hAnsi="Arial"/>
          <w:color w:val="000000"/>
          <w:sz w:val="23"/>
          <w:szCs w:val="23"/>
        </w:rPr>
        <w:t>t.</w:t>
      </w:r>
    </w:p>
    <w:p>
      <w:pPr>
        <w:pStyle w:val="Normal"/>
        <w:shd w:val="clear" w:color="auto" w:fill="FFFFFF"/>
        <w:spacing w:lineRule="auto" w:line="360"/>
        <w:rPr>
          <w:rFonts w:ascii="Arial" w:hAnsi="Arial" w:cs="Arial"/>
        </w:rPr>
      </w:pPr>
      <w:r>
        <w:rPr>
          <w:rFonts w:cs="Arial" w:ascii="Arial" w:hAnsi="Arial"/>
        </w:rPr>
      </w:r>
    </w:p>
    <w:p>
      <w:pPr>
        <w:pStyle w:val="Normal"/>
        <w:shd w:val="clear" w:color="auto" w:fill="FFFFFF"/>
        <w:rPr>
          <w:rFonts w:ascii="Arial" w:hAnsi="Arial" w:cs="Arial"/>
        </w:rPr>
      </w:pPr>
      <w:r>
        <w:rPr>
          <w:rFonts w:cs="Arial" w:ascii="Arial" w:hAnsi="Arial"/>
          <w:b/>
          <w:bCs/>
          <w:color w:val="000000"/>
          <w:sz w:val="26"/>
          <w:szCs w:val="26"/>
          <w:u w:val="single"/>
        </w:rPr>
        <w:t>Za</w:t>
      </w:r>
      <w:r>
        <w:rPr>
          <w:rFonts w:ascii="Arial" w:hAnsi="Arial"/>
          <w:b/>
          <w:bCs/>
          <w:color w:val="000000"/>
          <w:sz w:val="26"/>
          <w:szCs w:val="26"/>
          <w:u w:val="single"/>
        </w:rPr>
        <w:t>łą</w:t>
      </w:r>
      <w:r>
        <w:rPr>
          <w:rFonts w:cs="Arial" w:ascii="Arial" w:hAnsi="Arial"/>
          <w:b/>
          <w:bCs/>
          <w:color w:val="000000"/>
          <w:sz w:val="26"/>
          <w:szCs w:val="26"/>
          <w:u w:val="single"/>
        </w:rPr>
        <w:t>cznik :</w:t>
      </w:r>
    </w:p>
    <w:p>
      <w:pPr>
        <w:pStyle w:val="Normal"/>
        <w:shd w:val="clear" w:color="auto" w:fill="FFFFFF"/>
        <w:rPr>
          <w:rFonts w:ascii="Arial" w:hAnsi="Arial" w:cs="Arial"/>
          <w:color w:val="000000"/>
        </w:rPr>
      </w:pPr>
      <w:r>
        <w:rPr>
          <w:rFonts w:cs="Arial" w:ascii="Arial" w:hAnsi="Arial"/>
          <w:color w:val="000000"/>
        </w:rPr>
        <w:t>- kopia aktualnej oceny stanu wyrob</w:t>
      </w:r>
      <w:r>
        <w:rPr>
          <w:rFonts w:ascii="Arial" w:hAnsi="Arial"/>
          <w:color w:val="000000"/>
        </w:rPr>
        <w:t>ó</w:t>
      </w:r>
      <w:r>
        <w:rPr>
          <w:rFonts w:cs="Arial" w:ascii="Arial" w:hAnsi="Arial"/>
          <w:color w:val="000000"/>
        </w:rPr>
        <w:t>w zawieraj</w:t>
      </w:r>
      <w:r>
        <w:rPr>
          <w:rFonts w:ascii="Arial" w:hAnsi="Arial"/>
          <w:color w:val="000000"/>
        </w:rPr>
        <w:t>ą</w:t>
      </w:r>
      <w:r>
        <w:rPr>
          <w:rFonts w:cs="Arial" w:ascii="Arial" w:hAnsi="Arial"/>
          <w:color w:val="000000"/>
        </w:rPr>
        <w:t>cych azbest;</w:t>
      </w:r>
    </w:p>
    <w:p>
      <w:pPr>
        <w:pStyle w:val="Normal"/>
        <w:shd w:val="clear" w:color="auto" w:fill="FFFFFF"/>
        <w:rPr>
          <w:rFonts w:ascii="Arial" w:hAnsi="Arial" w:cs="Arial"/>
          <w:color w:val="000000"/>
        </w:rPr>
      </w:pPr>
      <w:r>
        <w:rPr>
          <w:rFonts w:cs="Arial" w:ascii="Arial" w:hAnsi="Arial"/>
          <w:color w:val="000000"/>
        </w:rPr>
      </w:r>
    </w:p>
    <w:p>
      <w:pPr>
        <w:pStyle w:val="Normal"/>
        <w:shd w:val="clear" w:color="auto" w:fill="FFFFFF"/>
        <w:rPr>
          <w:rFonts w:ascii="Arial" w:hAnsi="Arial" w:cs="Arial"/>
          <w:color w:val="000000"/>
        </w:rPr>
      </w:pPr>
      <w:r>
        <w:rPr>
          <w:rFonts w:cs="Arial" w:ascii="Arial" w:hAnsi="Arial"/>
          <w:color w:val="000000"/>
        </w:rPr>
      </w:r>
    </w:p>
    <w:p>
      <w:pPr>
        <w:pStyle w:val="Normal"/>
        <w:shd w:val="clear" w:color="auto" w:fill="FFFFFF"/>
        <w:jc w:val="center"/>
        <w:rPr>
          <w:rFonts w:ascii="Arial" w:hAnsi="Arial" w:cs="Arial"/>
        </w:rPr>
      </w:pPr>
      <w:r>
        <w:rPr>
          <w:rFonts w:cs="Arial" w:ascii="Arial" w:hAnsi="Arial"/>
        </w:rPr>
        <w:t xml:space="preserve">                                     …………………………</w:t>
      </w:r>
      <w:r>
        <w:rPr>
          <w:rFonts w:cs="Arial" w:ascii="Arial" w:hAnsi="Arial"/>
        </w:rPr>
        <w:t>..………………..</w:t>
      </w:r>
    </w:p>
    <w:p>
      <w:pPr>
        <w:pStyle w:val="Normal"/>
        <w:jc w:val="center"/>
        <w:rPr>
          <w:rFonts w:ascii="Arial" w:hAnsi="Arial" w:cs="Arial"/>
          <w:color w:val="000000"/>
          <w:sz w:val="18"/>
          <w:szCs w:val="18"/>
        </w:rPr>
      </w:pPr>
      <w:r>
        <w:rPr>
          <w:rFonts w:cs="Arial" w:ascii="Arial" w:hAnsi="Arial"/>
          <w:color w:val="000000"/>
          <w:sz w:val="18"/>
          <w:szCs w:val="18"/>
        </w:rPr>
        <w:t xml:space="preserve">                                             </w:t>
      </w:r>
      <w:r>
        <w:rPr>
          <w:rFonts w:cs="Arial" w:ascii="Arial" w:hAnsi="Arial"/>
          <w:color w:val="000000"/>
          <w:sz w:val="18"/>
          <w:szCs w:val="18"/>
        </w:rPr>
        <w:t>(podpis wykonawcy)</w:t>
      </w:r>
    </w:p>
    <w:p>
      <w:pPr>
        <w:sectPr>
          <w:headerReference w:type="default" r:id="rId67"/>
          <w:footerReference w:type="default" r:id="rId68"/>
          <w:footnotePr>
            <w:numFmt w:val="decimal"/>
          </w:footnotePr>
          <w:type w:val="nextPage"/>
          <w:pgSz w:w="11906" w:h="16838"/>
          <w:pgMar w:left="992" w:right="1418" w:header="708" w:top="1418" w:footer="708" w:bottom="1418" w:gutter="0"/>
          <w:pgNumType w:fmt="decimal"/>
          <w:formProt w:val="false"/>
          <w:textDirection w:val="lrTb"/>
          <w:docGrid w:type="default" w:linePitch="360" w:charSpace="0"/>
        </w:sectPr>
        <w:pStyle w:val="Normal"/>
        <w:rPr>
          <w:rFonts w:ascii="Arial" w:hAnsi="Arial" w:cs="Arial"/>
          <w:b/>
          <w:b/>
        </w:rPr>
      </w:pPr>
      <w:r>
        <w:rPr>
          <w:rFonts w:cs="Arial" w:ascii="Arial" w:hAnsi="Arial"/>
          <w:color w:val="000000"/>
          <w:sz w:val="18"/>
          <w:szCs w:val="18"/>
        </w:rPr>
        <w:t xml:space="preserve"> </w:t>
      </w:r>
      <w:r>
        <w:rPr>
          <w:rFonts w:cs="Arial" w:ascii="Arial" w:hAnsi="Arial"/>
          <w:color w:val="000000"/>
          <w:sz w:val="18"/>
          <w:szCs w:val="18"/>
        </w:rPr>
        <w:t>* niepotrzebne skre</w:t>
      </w:r>
      <w:r>
        <w:rPr>
          <w:rFonts w:ascii="Arial" w:hAnsi="Arial"/>
          <w:color w:val="000000"/>
          <w:sz w:val="18"/>
          <w:szCs w:val="18"/>
        </w:rPr>
        <w:t>ś</w:t>
      </w:r>
      <w:r>
        <w:rPr>
          <w:rFonts w:cs="Arial" w:ascii="Arial" w:hAnsi="Arial"/>
          <w:color w:val="000000"/>
          <w:sz w:val="18"/>
          <w:szCs w:val="18"/>
        </w:rPr>
        <w:t>li</w:t>
      </w:r>
      <w:r>
        <w:rPr>
          <w:rFonts w:ascii="Arial" w:hAnsi="Arial"/>
          <w:color w:val="000000"/>
          <w:sz w:val="18"/>
          <w:szCs w:val="18"/>
        </w:rPr>
        <w:t>ć</w:t>
      </w:r>
    </w:p>
    <w:p>
      <w:pPr>
        <w:pStyle w:val="Normal"/>
        <w:jc w:val="right"/>
        <w:rPr>
          <w:rFonts w:ascii="Arial" w:hAnsi="Arial" w:cs="Arial"/>
          <w:b/>
          <w:b/>
        </w:rPr>
      </w:pPr>
      <w:r>
        <w:rPr>
          <w:rFonts w:cs="Arial" w:ascii="Arial" w:hAnsi="Arial"/>
          <w:b/>
        </w:rPr>
        <w:t>Załącznik nr 8</w:t>
      </w:r>
    </w:p>
    <w:p>
      <w:pPr>
        <w:pStyle w:val="Normal"/>
        <w:jc w:val="both"/>
        <w:rPr>
          <w:rFonts w:ascii="Arial" w:hAnsi="Arial" w:cs="Arial"/>
          <w:b/>
          <w:b/>
          <w:i/>
          <w:i/>
        </w:rPr>
      </w:pPr>
      <w:r>
        <w:rPr>
          <w:rFonts w:cs="Arial" w:ascii="Arial" w:hAnsi="Arial"/>
          <w:b/>
          <w:i/>
        </w:rPr>
        <w:t>Nazwy wyrobów azbestowych i kody odpowiadających im odpadów wraz z przelicznikami.</w:t>
      </w:r>
    </w:p>
    <w:tbl>
      <w:tblPr>
        <w:tblW w:w="5000" w:type="pct"/>
        <w:jc w:val="left"/>
        <w:tblInd w:w="0" w:type="dxa"/>
        <w:tblBorders>
          <w:top w:val="single" w:sz="8" w:space="0" w:color="9BBB59"/>
          <w:left w:val="single" w:sz="8" w:space="0" w:color="9BBB59"/>
          <w:bottom w:val="single" w:sz="18" w:space="0" w:color="9BBB59"/>
          <w:right w:val="single" w:sz="8" w:space="0" w:color="9BBB59"/>
          <w:insideH w:val="single" w:sz="18" w:space="0" w:color="9BBB59"/>
          <w:insideV w:val="single" w:sz="8" w:space="0" w:color="9BBB59"/>
        </w:tblBorders>
        <w:tblCellMar>
          <w:top w:w="0" w:type="dxa"/>
          <w:left w:w="107" w:type="dxa"/>
          <w:bottom w:w="0" w:type="dxa"/>
          <w:right w:w="108" w:type="dxa"/>
        </w:tblCellMar>
        <w:tblLook w:firstRow="1" w:noVBand="1" w:lastRow="0" w:firstColumn="1" w:lastColumn="0" w:noHBand="0" w:val="04a0"/>
      </w:tblPr>
      <w:tblGrid>
        <w:gridCol w:w="1071"/>
        <w:gridCol w:w="3750"/>
        <w:gridCol w:w="1808"/>
        <w:gridCol w:w="1407"/>
        <w:gridCol w:w="1460"/>
      </w:tblGrid>
      <w:tr>
        <w:trPr>
          <w:tblHeader w:val="true"/>
        </w:trPr>
        <w:tc>
          <w:tcPr>
            <w:tcW w:w="1071" w:type="dxa"/>
            <w:tcBorders>
              <w:top w:val="single" w:sz="8" w:space="0" w:color="9BBB59"/>
              <w:left w:val="single" w:sz="8" w:space="0" w:color="9BBB59"/>
              <w:bottom w:val="single" w:sz="18" w:space="0" w:color="9BBB59"/>
              <w:right w:val="single" w:sz="8" w:space="0" w:color="9BBB59"/>
              <w:insideH w:val="single" w:sz="18" w:space="0" w:color="9BBB59"/>
              <w:insideV w:val="single" w:sz="8" w:space="0" w:color="9BBB59"/>
            </w:tcBorders>
            <w:shd w:fill="auto" w:val="clear"/>
            <w:vAlign w:val="center"/>
          </w:tcPr>
          <w:p>
            <w:pPr>
              <w:pStyle w:val="Normal"/>
              <w:spacing w:lineRule="auto" w:line="240" w:before="0" w:after="0"/>
              <w:jc w:val="center"/>
              <w:rPr>
                <w:rFonts w:ascii="Arial" w:hAnsi="Arial" w:cs="Arial"/>
                <w:b/>
                <w:b/>
                <w:bCs/>
                <w:color w:val="000000"/>
                <w:sz w:val="24"/>
                <w:szCs w:val="24"/>
              </w:rPr>
            </w:pPr>
            <w:r>
              <w:rPr>
                <w:rFonts w:cs="Arial" w:ascii="Arial" w:hAnsi="Arial"/>
                <w:b/>
                <w:bCs/>
                <w:color w:val="000000"/>
                <w:sz w:val="24"/>
                <w:szCs w:val="24"/>
              </w:rPr>
              <w:t>Kod wyrobu</w:t>
            </w:r>
          </w:p>
        </w:tc>
        <w:tc>
          <w:tcPr>
            <w:tcW w:w="3750" w:type="dxa"/>
            <w:tcBorders>
              <w:top w:val="single" w:sz="8" w:space="0" w:color="9BBB59"/>
              <w:left w:val="single" w:sz="8" w:space="0" w:color="9BBB59"/>
              <w:bottom w:val="single" w:sz="18" w:space="0" w:color="9BBB59"/>
              <w:right w:val="single" w:sz="8" w:space="0" w:color="9BBB59"/>
              <w:insideH w:val="single" w:sz="18" w:space="0" w:color="9BBB59"/>
              <w:insideV w:val="single" w:sz="8" w:space="0" w:color="9BBB59"/>
            </w:tcBorders>
            <w:shd w:fill="auto" w:val="clear"/>
            <w:vAlign w:val="center"/>
          </w:tcPr>
          <w:p>
            <w:pPr>
              <w:pStyle w:val="Normal"/>
              <w:spacing w:lineRule="auto" w:line="240" w:before="0" w:after="0"/>
              <w:jc w:val="center"/>
              <w:rPr>
                <w:rFonts w:ascii="Arial" w:hAnsi="Arial" w:cs="Arial"/>
                <w:b/>
                <w:b/>
                <w:bCs/>
                <w:color w:val="000000"/>
                <w:sz w:val="24"/>
                <w:szCs w:val="24"/>
              </w:rPr>
            </w:pPr>
            <w:r>
              <w:rPr>
                <w:rFonts w:cs="Arial" w:ascii="Arial" w:hAnsi="Arial"/>
                <w:b/>
                <w:bCs/>
                <w:color w:val="000000"/>
                <w:sz w:val="24"/>
                <w:szCs w:val="24"/>
              </w:rPr>
              <w:t>Rodzaj wyrobu zawierającego azbest</w:t>
            </w:r>
          </w:p>
        </w:tc>
        <w:tc>
          <w:tcPr>
            <w:tcW w:w="1808" w:type="dxa"/>
            <w:tcBorders>
              <w:top w:val="single" w:sz="8" w:space="0" w:color="9BBB59"/>
              <w:left w:val="single" w:sz="8" w:space="0" w:color="9BBB59"/>
              <w:bottom w:val="single" w:sz="18" w:space="0" w:color="9BBB59"/>
              <w:right w:val="single" w:sz="8" w:space="0" w:color="9BBB59"/>
              <w:insideH w:val="single" w:sz="18" w:space="0" w:color="9BBB59"/>
              <w:insideV w:val="single" w:sz="8" w:space="0" w:color="9BBB59"/>
            </w:tcBorders>
            <w:shd w:fill="auto" w:val="clear"/>
            <w:vAlign w:val="center"/>
          </w:tcPr>
          <w:p>
            <w:pPr>
              <w:pStyle w:val="Normal"/>
              <w:spacing w:lineRule="auto" w:line="240" w:before="0" w:after="0"/>
              <w:jc w:val="center"/>
              <w:rPr>
                <w:rFonts w:ascii="Arial" w:hAnsi="Arial" w:cs="Arial"/>
                <w:b/>
                <w:b/>
                <w:bCs/>
                <w:color w:val="000000"/>
                <w:sz w:val="24"/>
                <w:szCs w:val="24"/>
              </w:rPr>
            </w:pPr>
            <w:r>
              <w:rPr>
                <w:rFonts w:cs="Arial" w:ascii="Arial" w:hAnsi="Arial"/>
                <w:b/>
                <w:bCs/>
                <w:color w:val="000000"/>
                <w:sz w:val="24"/>
                <w:szCs w:val="24"/>
              </w:rPr>
              <w:t>Kod odpadu powstającego z wyrobu</w:t>
            </w:r>
          </w:p>
        </w:tc>
        <w:tc>
          <w:tcPr>
            <w:tcW w:w="1407" w:type="dxa"/>
            <w:tcBorders>
              <w:top w:val="single" w:sz="8" w:space="0" w:color="9BBB59"/>
              <w:left w:val="single" w:sz="8" w:space="0" w:color="9BBB59"/>
              <w:bottom w:val="single" w:sz="18" w:space="0" w:color="9BBB59"/>
              <w:right w:val="single" w:sz="8" w:space="0" w:color="9BBB59"/>
              <w:insideH w:val="single" w:sz="18" w:space="0" w:color="9BBB59"/>
              <w:insideV w:val="single" w:sz="8" w:space="0" w:color="9BBB59"/>
            </w:tcBorders>
            <w:shd w:fill="auto" w:val="clear"/>
            <w:vAlign w:val="center"/>
          </w:tcPr>
          <w:p>
            <w:pPr>
              <w:pStyle w:val="Normal"/>
              <w:spacing w:lineRule="auto" w:line="240" w:before="0" w:after="0"/>
              <w:jc w:val="center"/>
              <w:rPr>
                <w:rFonts w:ascii="Arial" w:hAnsi="Arial" w:cs="Arial"/>
                <w:b/>
                <w:b/>
                <w:bCs/>
                <w:color w:val="000000"/>
                <w:sz w:val="24"/>
                <w:szCs w:val="24"/>
              </w:rPr>
            </w:pPr>
            <w:r>
              <w:rPr>
                <w:rFonts w:cs="Arial" w:ascii="Arial" w:hAnsi="Arial"/>
                <w:b/>
                <w:bCs/>
                <w:color w:val="000000"/>
                <w:sz w:val="24"/>
                <w:szCs w:val="24"/>
              </w:rPr>
              <w:t>Jednostka miary</w:t>
            </w:r>
          </w:p>
        </w:tc>
        <w:tc>
          <w:tcPr>
            <w:tcW w:w="1460" w:type="dxa"/>
            <w:tcBorders>
              <w:top w:val="single" w:sz="8" w:space="0" w:color="9BBB59"/>
              <w:left w:val="single" w:sz="8" w:space="0" w:color="9BBB59"/>
              <w:bottom w:val="single" w:sz="18" w:space="0" w:color="9BBB59"/>
              <w:right w:val="single" w:sz="8" w:space="0" w:color="9BBB59"/>
              <w:insideH w:val="single" w:sz="18" w:space="0" w:color="9BBB59"/>
              <w:insideV w:val="single" w:sz="8" w:space="0" w:color="9BBB59"/>
            </w:tcBorders>
            <w:shd w:fill="auto" w:val="clear"/>
            <w:vAlign w:val="center"/>
          </w:tcPr>
          <w:p>
            <w:pPr>
              <w:pStyle w:val="Normal"/>
              <w:spacing w:lineRule="auto" w:line="240" w:before="0" w:after="0"/>
              <w:jc w:val="center"/>
              <w:rPr>
                <w:rFonts w:ascii="Arial" w:hAnsi="Arial" w:cs="Arial"/>
                <w:b/>
                <w:b/>
                <w:bCs/>
                <w:color w:val="000000"/>
                <w:sz w:val="24"/>
                <w:szCs w:val="24"/>
              </w:rPr>
            </w:pPr>
            <w:r>
              <w:rPr>
                <w:rFonts w:cs="Arial" w:ascii="Arial" w:hAnsi="Arial"/>
                <w:b/>
                <w:bCs/>
                <w:color w:val="000000"/>
                <w:sz w:val="24"/>
                <w:szCs w:val="24"/>
              </w:rPr>
              <w:t>Przelicznik na [kg]</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W01</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color w:val="000000"/>
                <w:sz w:val="24"/>
                <w:szCs w:val="24"/>
              </w:rPr>
            </w:pPr>
            <w:r>
              <w:rPr>
                <w:rFonts w:cs="Arial" w:ascii="Arial" w:hAnsi="Arial"/>
                <w:color w:val="000000"/>
                <w:sz w:val="24"/>
                <w:szCs w:val="24"/>
              </w:rPr>
              <w:t>Płyty azbestowo-cementowe płaskie stosowane w budownictwie</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17 06 05</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m</w:t>
            </w:r>
            <w:r>
              <w:rPr>
                <w:rFonts w:cs="Arial" w:ascii="Arial" w:hAnsi="Arial"/>
                <w:color w:val="000000"/>
                <w:sz w:val="24"/>
                <w:szCs w:val="24"/>
                <w:vertAlign w:val="superscript"/>
              </w:rPr>
              <w:t>2</w:t>
            </w:r>
            <w:r>
              <w:rPr>
                <w:rFonts w:cs="Arial" w:ascii="Arial" w:hAnsi="Arial"/>
                <w:color w:val="000000"/>
                <w:sz w:val="24"/>
                <w:szCs w:val="24"/>
              </w:rPr>
              <w:t>, 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15</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W02</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color w:val="000000"/>
                <w:sz w:val="24"/>
                <w:szCs w:val="24"/>
              </w:rPr>
            </w:pPr>
            <w:r>
              <w:rPr>
                <w:rFonts w:cs="Arial" w:ascii="Arial" w:hAnsi="Arial"/>
                <w:color w:val="000000"/>
                <w:sz w:val="24"/>
                <w:szCs w:val="24"/>
              </w:rPr>
              <w:t xml:space="preserve">Płyty azbestowo-cementowe faliste dla budownictwa </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xml:space="preserve">17 06 05 </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m</w:t>
            </w:r>
            <w:r>
              <w:rPr>
                <w:rFonts w:cs="Arial" w:ascii="Arial" w:hAnsi="Arial"/>
                <w:color w:val="000000"/>
                <w:sz w:val="24"/>
                <w:szCs w:val="24"/>
                <w:vertAlign w:val="superscript"/>
              </w:rPr>
              <w:t>2</w:t>
            </w:r>
            <w:r>
              <w:rPr>
                <w:rFonts w:cs="Arial" w:ascii="Arial" w:hAnsi="Arial"/>
                <w:color w:val="000000"/>
                <w:sz w:val="24"/>
                <w:szCs w:val="24"/>
              </w:rPr>
              <w:t xml:space="preserve">, kg </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15</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W03</w:t>
            </w:r>
          </w:p>
        </w:tc>
        <w:tc>
          <w:tcPr>
            <w:tcW w:w="8425" w:type="dxa"/>
            <w:gridSpan w:val="4"/>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color w:val="000000"/>
                <w:sz w:val="24"/>
                <w:szCs w:val="24"/>
              </w:rPr>
            </w:pPr>
            <w:r>
              <w:rPr>
                <w:rFonts w:cs="Arial" w:ascii="Arial" w:hAnsi="Arial"/>
                <w:color w:val="000000"/>
                <w:sz w:val="24"/>
                <w:szCs w:val="24"/>
              </w:rPr>
              <w:t>Rury i złącza azbestowo-cementowe   </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W03.1</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color w:val="000000"/>
                <w:sz w:val="24"/>
                <w:szCs w:val="24"/>
              </w:rPr>
            </w:pPr>
            <w:r>
              <w:rPr>
                <w:rFonts w:cs="Arial" w:ascii="Arial" w:hAnsi="Arial"/>
                <w:color w:val="000000"/>
                <w:sz w:val="24"/>
                <w:szCs w:val="24"/>
              </w:rPr>
              <w:t xml:space="preserve">     </w:t>
            </w:r>
            <w:r>
              <w:rPr>
                <w:rFonts w:cs="Arial" w:ascii="Arial" w:hAnsi="Arial"/>
                <w:color w:val="000000"/>
                <w:sz w:val="24"/>
                <w:szCs w:val="24"/>
              </w:rPr>
              <w:t>rury i złącza azbestowo-cementowe do usunięcia</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xml:space="preserve">17 06 05 </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m, 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40</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W03.2</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color w:val="000000"/>
                <w:sz w:val="24"/>
                <w:szCs w:val="24"/>
              </w:rPr>
            </w:pPr>
            <w:r>
              <w:rPr>
                <w:rFonts w:cs="Arial" w:ascii="Arial" w:hAnsi="Arial"/>
                <w:color w:val="000000"/>
                <w:sz w:val="24"/>
                <w:szCs w:val="24"/>
              </w:rPr>
              <w:t xml:space="preserve">     </w:t>
            </w:r>
            <w:r>
              <w:rPr>
                <w:rFonts w:cs="Arial" w:ascii="Arial" w:hAnsi="Arial"/>
                <w:color w:val="000000"/>
                <w:sz w:val="24"/>
                <w:szCs w:val="24"/>
              </w:rPr>
              <w:t>rury i złącza azbestowo-cementowe do pozostawienia w ziemi</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w:t>
            </w:r>
            <w:r>
              <w:rPr>
                <w:rFonts w:cs="Arial" w:ascii="Arial" w:hAnsi="Arial"/>
                <w:color w:val="000000"/>
                <w:sz w:val="24"/>
                <w:szCs w:val="24"/>
              </w:rPr>
              <w:t>-</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m, 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40</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W04</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color w:val="000000"/>
                <w:sz w:val="24"/>
                <w:szCs w:val="24"/>
              </w:rPr>
            </w:pPr>
            <w:r>
              <w:rPr>
                <w:rFonts w:cs="Arial" w:ascii="Arial" w:hAnsi="Arial"/>
                <w:color w:val="000000"/>
                <w:sz w:val="24"/>
                <w:szCs w:val="24"/>
              </w:rPr>
              <w:t>Izolacje natryskowe środkami zawierającymi w swoim składzie azbest</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17 06 01</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m</w:t>
            </w:r>
            <w:r>
              <w:rPr>
                <w:rFonts w:cs="Arial" w:ascii="Arial" w:hAnsi="Arial"/>
                <w:color w:val="000000"/>
                <w:sz w:val="24"/>
                <w:szCs w:val="24"/>
                <w:vertAlign w:val="superscript"/>
              </w:rPr>
              <w:t>3</w:t>
            </w:r>
            <w:r>
              <w:rPr>
                <w:rFonts w:cs="Arial" w:ascii="Arial" w:hAnsi="Arial"/>
                <w:color w:val="000000"/>
                <w:sz w:val="24"/>
                <w:szCs w:val="24"/>
              </w:rPr>
              <w:t>, 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300</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W05</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color w:val="000000"/>
                <w:sz w:val="24"/>
                <w:szCs w:val="24"/>
              </w:rPr>
            </w:pPr>
            <w:r>
              <w:rPr>
                <w:rFonts w:cs="Arial" w:ascii="Arial" w:hAnsi="Arial"/>
                <w:color w:val="000000"/>
                <w:sz w:val="24"/>
                <w:szCs w:val="24"/>
              </w:rPr>
              <w:t>Wyroby cierne azbestowo-kauczukowe</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16 01 11</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W06</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color w:val="000000"/>
                <w:sz w:val="24"/>
                <w:szCs w:val="24"/>
              </w:rPr>
            </w:pPr>
            <w:r>
              <w:rPr>
                <w:rFonts w:cs="Arial" w:ascii="Arial" w:hAnsi="Arial"/>
                <w:color w:val="000000"/>
                <w:sz w:val="24"/>
                <w:szCs w:val="24"/>
              </w:rPr>
              <w:t>Przędza specjalna, w tym włókna azbestowe obrobione (tkaniny i odzież ochronna)</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15 02 02</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W07</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color w:val="000000"/>
                <w:sz w:val="24"/>
                <w:szCs w:val="24"/>
              </w:rPr>
            </w:pPr>
            <w:r>
              <w:rPr>
                <w:rFonts w:cs="Arial" w:ascii="Arial" w:hAnsi="Arial"/>
                <w:color w:val="000000"/>
                <w:sz w:val="24"/>
                <w:szCs w:val="24"/>
              </w:rPr>
              <w:t>Szczeliwa azbestowe</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17 06 01</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W08</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color w:val="000000"/>
                <w:sz w:val="24"/>
                <w:szCs w:val="24"/>
              </w:rPr>
            </w:pPr>
            <w:r>
              <w:rPr>
                <w:rFonts w:cs="Arial" w:ascii="Arial" w:hAnsi="Arial"/>
                <w:color w:val="000000"/>
                <w:sz w:val="24"/>
                <w:szCs w:val="24"/>
              </w:rPr>
              <w:t>Taśmy tkane i plecione, sznury i sznurki</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17 06 01</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W09</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color w:val="000000"/>
                <w:sz w:val="24"/>
                <w:szCs w:val="24"/>
              </w:rPr>
            </w:pPr>
            <w:r>
              <w:rPr>
                <w:rFonts w:cs="Arial" w:ascii="Arial" w:hAnsi="Arial"/>
                <w:color w:val="000000"/>
                <w:sz w:val="24"/>
                <w:szCs w:val="24"/>
              </w:rPr>
              <w:t>Wyroby azbestowo-kauczukowe, z wyjątkiem wyrobów ciernych</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17 06 01</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kg</w:t>
            </w:r>
            <w:r>
              <w:rPr>
                <w:rFonts w:cs="Arial" w:ascii="Arial" w:hAnsi="Arial"/>
                <w:b/>
                <w:bCs/>
                <w:color w:val="000000"/>
                <w:sz w:val="24"/>
                <w:szCs w:val="24"/>
              </w:rPr>
              <w:t> </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b/>
                <w:bCs/>
                <w:color w:val="000000"/>
                <w:sz w:val="24"/>
                <w:szCs w:val="24"/>
              </w:rPr>
              <w:t> </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W10</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color w:val="000000"/>
                <w:sz w:val="24"/>
                <w:szCs w:val="24"/>
              </w:rPr>
            </w:pPr>
            <w:r>
              <w:rPr>
                <w:rFonts w:cs="Arial" w:ascii="Arial" w:hAnsi="Arial"/>
                <w:color w:val="000000"/>
                <w:sz w:val="24"/>
                <w:szCs w:val="24"/>
              </w:rPr>
              <w:t>Papier, tektura</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17 06 01</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m</w:t>
            </w:r>
            <w:r>
              <w:rPr>
                <w:rFonts w:cs="Arial" w:ascii="Arial" w:hAnsi="Arial"/>
                <w:color w:val="000000"/>
                <w:sz w:val="24"/>
                <w:szCs w:val="24"/>
                <w:vertAlign w:val="superscript"/>
              </w:rPr>
              <w:t>2</w:t>
            </w:r>
            <w:r>
              <w:rPr>
                <w:rFonts w:cs="Arial" w:ascii="Arial" w:hAnsi="Arial"/>
                <w:color w:val="000000"/>
                <w:sz w:val="24"/>
                <w:szCs w:val="24"/>
              </w:rPr>
              <w:t>, 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1,5</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W11</w:t>
            </w:r>
          </w:p>
        </w:tc>
        <w:tc>
          <w:tcPr>
            <w:tcW w:w="8425" w:type="dxa"/>
            <w:gridSpan w:val="4"/>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color w:val="000000"/>
                <w:sz w:val="24"/>
                <w:szCs w:val="24"/>
              </w:rPr>
            </w:pPr>
            <w:r>
              <w:rPr>
                <w:rFonts w:cs="Arial" w:ascii="Arial" w:hAnsi="Arial"/>
                <w:color w:val="000000"/>
                <w:sz w:val="24"/>
                <w:szCs w:val="24"/>
              </w:rPr>
              <w:t>Inne wyroby zawierające azbest, osobno nie wymienione</w:t>
            </w:r>
            <w:r>
              <w:rPr>
                <w:rFonts w:cs="Arial" w:ascii="Arial" w:hAnsi="Arial"/>
                <w:b/>
                <w:bCs/>
                <w:color w:val="000000"/>
                <w:sz w:val="24"/>
                <w:szCs w:val="24"/>
              </w:rPr>
              <w:t> </w:t>
            </w:r>
            <w:r>
              <w:rPr>
                <w:rFonts w:cs="Arial" w:ascii="Arial" w:hAnsi="Arial"/>
                <w:color w:val="000000"/>
                <w:sz w:val="24"/>
                <w:szCs w:val="24"/>
              </w:rPr>
              <w:t>  </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W11.1</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color w:val="000000"/>
                <w:sz w:val="24"/>
                <w:szCs w:val="24"/>
              </w:rPr>
            </w:pPr>
            <w:r>
              <w:rPr>
                <w:rFonts w:cs="Arial" w:ascii="Arial" w:hAnsi="Arial"/>
                <w:color w:val="000000"/>
                <w:sz w:val="24"/>
                <w:szCs w:val="24"/>
              </w:rPr>
              <w:t xml:space="preserve">     </w:t>
            </w:r>
            <w:r>
              <w:rPr>
                <w:rFonts w:cs="Arial" w:ascii="Arial" w:hAnsi="Arial"/>
                <w:color w:val="000000"/>
                <w:sz w:val="24"/>
                <w:szCs w:val="24"/>
              </w:rPr>
              <w:t>otuliny azbestowo-cementowe</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17 06 01</w:t>
            </w:r>
            <w:r>
              <w:rPr>
                <w:rFonts w:cs="Arial" w:ascii="Arial" w:hAnsi="Arial"/>
                <w:b/>
                <w:bCs/>
                <w:color w:val="000000"/>
                <w:sz w:val="24"/>
                <w:szCs w:val="24"/>
              </w:rPr>
              <w:t> </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m, 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6</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W11.2</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color w:val="000000"/>
                <w:sz w:val="24"/>
                <w:szCs w:val="24"/>
              </w:rPr>
            </w:pPr>
            <w:r>
              <w:rPr>
                <w:rFonts w:cs="Arial" w:ascii="Arial" w:hAnsi="Arial"/>
                <w:color w:val="000000"/>
                <w:sz w:val="24"/>
                <w:szCs w:val="24"/>
              </w:rPr>
              <w:t xml:space="preserve">     </w:t>
            </w:r>
            <w:r>
              <w:rPr>
                <w:rFonts w:cs="Arial" w:ascii="Arial" w:hAnsi="Arial"/>
                <w:color w:val="000000"/>
                <w:sz w:val="24"/>
                <w:szCs w:val="24"/>
              </w:rPr>
              <w:t>kształtki azbestowo-cementowe budowlane (przewody wentylacyjne,</w:t>
              <w:br/>
              <w:t>     podokienniki, osłony kanałów spalin)</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17 06 05</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m</w:t>
            </w:r>
            <w:r>
              <w:rPr>
                <w:rFonts w:cs="Arial" w:ascii="Arial" w:hAnsi="Arial"/>
                <w:color w:val="000000"/>
                <w:sz w:val="24"/>
                <w:szCs w:val="24"/>
                <w:vertAlign w:val="superscript"/>
              </w:rPr>
              <w:t>2</w:t>
            </w:r>
            <w:r>
              <w:rPr>
                <w:rFonts w:cs="Arial" w:ascii="Arial" w:hAnsi="Arial"/>
                <w:color w:val="000000"/>
                <w:sz w:val="24"/>
                <w:szCs w:val="24"/>
              </w:rPr>
              <w:t>, 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15</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W11.3</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color w:val="000000"/>
                <w:sz w:val="24"/>
                <w:szCs w:val="24"/>
              </w:rPr>
            </w:pPr>
            <w:r>
              <w:rPr>
                <w:rFonts w:cs="Arial" w:ascii="Arial" w:hAnsi="Arial"/>
                <w:color w:val="000000"/>
                <w:sz w:val="24"/>
                <w:szCs w:val="24"/>
              </w:rPr>
              <w:t xml:space="preserve">     </w:t>
            </w:r>
            <w:r>
              <w:rPr>
                <w:rFonts w:cs="Arial" w:ascii="Arial" w:hAnsi="Arial"/>
                <w:color w:val="000000"/>
                <w:sz w:val="24"/>
                <w:szCs w:val="24"/>
              </w:rPr>
              <w:t>kształtki azbestowo-cementowe elektroizolacyjne</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16 02 13</w:t>
            </w:r>
            <w:r>
              <w:rPr>
                <w:rFonts w:cs="Arial" w:ascii="Arial" w:hAnsi="Arial"/>
                <w:b/>
                <w:bCs/>
                <w:color w:val="000000"/>
                <w:sz w:val="24"/>
                <w:szCs w:val="24"/>
              </w:rPr>
              <w:t> </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W11.4</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color w:val="000000"/>
                <w:sz w:val="24"/>
                <w:szCs w:val="24"/>
              </w:rPr>
            </w:pPr>
            <w:r>
              <w:rPr>
                <w:rFonts w:cs="Arial" w:ascii="Arial" w:hAnsi="Arial"/>
                <w:color w:val="000000"/>
                <w:sz w:val="24"/>
                <w:szCs w:val="24"/>
              </w:rPr>
              <w:t xml:space="preserve">     </w:t>
            </w:r>
            <w:r>
              <w:rPr>
                <w:rFonts w:cs="Arial" w:ascii="Arial" w:hAnsi="Arial"/>
                <w:color w:val="000000"/>
                <w:sz w:val="24"/>
                <w:szCs w:val="24"/>
              </w:rPr>
              <w:t>płytki PCV</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17 09 03</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m</w:t>
            </w:r>
            <w:r>
              <w:rPr>
                <w:rFonts w:cs="Arial" w:ascii="Arial" w:hAnsi="Arial"/>
                <w:color w:val="000000"/>
                <w:sz w:val="24"/>
                <w:szCs w:val="24"/>
                <w:vertAlign w:val="superscript"/>
              </w:rPr>
              <w:t>2</w:t>
            </w:r>
            <w:r>
              <w:rPr>
                <w:rFonts w:cs="Arial" w:ascii="Arial" w:hAnsi="Arial"/>
                <w:color w:val="000000"/>
                <w:sz w:val="24"/>
                <w:szCs w:val="24"/>
              </w:rPr>
              <w:t>, 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5</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W11.5</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color w:val="000000"/>
                <w:sz w:val="24"/>
                <w:szCs w:val="24"/>
              </w:rPr>
            </w:pPr>
            <w:r>
              <w:rPr>
                <w:rFonts w:cs="Arial" w:ascii="Arial" w:hAnsi="Arial"/>
                <w:color w:val="000000"/>
                <w:sz w:val="24"/>
                <w:szCs w:val="24"/>
              </w:rPr>
              <w:t xml:space="preserve">     </w:t>
            </w:r>
            <w:r>
              <w:rPr>
                <w:rFonts w:cs="Arial" w:ascii="Arial" w:hAnsi="Arial"/>
                <w:color w:val="000000"/>
                <w:sz w:val="24"/>
                <w:szCs w:val="24"/>
              </w:rPr>
              <w:t>płyty ogniochronne</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17 06 01</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m</w:t>
            </w:r>
            <w:r>
              <w:rPr>
                <w:rFonts w:cs="Arial" w:ascii="Arial" w:hAnsi="Arial"/>
                <w:color w:val="000000"/>
                <w:sz w:val="24"/>
                <w:szCs w:val="24"/>
                <w:vertAlign w:val="superscript"/>
              </w:rPr>
              <w:t>2</w:t>
            </w:r>
            <w:r>
              <w:rPr>
                <w:rFonts w:cs="Arial" w:ascii="Arial" w:hAnsi="Arial"/>
                <w:color w:val="000000"/>
                <w:sz w:val="24"/>
                <w:szCs w:val="24"/>
              </w:rPr>
              <w:t>, 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20</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W11.6</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color w:val="000000"/>
                <w:sz w:val="24"/>
                <w:szCs w:val="24"/>
              </w:rPr>
            </w:pPr>
            <w:r>
              <w:rPr>
                <w:rFonts w:cs="Arial" w:ascii="Arial" w:hAnsi="Arial"/>
                <w:color w:val="000000"/>
                <w:sz w:val="24"/>
                <w:szCs w:val="24"/>
              </w:rPr>
              <w:t xml:space="preserve">     </w:t>
            </w:r>
            <w:r>
              <w:rPr>
                <w:rFonts w:cs="Arial" w:ascii="Arial" w:hAnsi="Arial"/>
                <w:color w:val="000000"/>
                <w:sz w:val="24"/>
                <w:szCs w:val="24"/>
              </w:rPr>
              <w:t>papy, kity,  i masy hydroizolacyjne</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17 09 03</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W11.7</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color w:val="000000"/>
                <w:sz w:val="24"/>
                <w:szCs w:val="24"/>
              </w:rPr>
            </w:pPr>
            <w:r>
              <w:rPr>
                <w:rFonts w:cs="Arial" w:ascii="Arial" w:hAnsi="Arial"/>
                <w:color w:val="000000"/>
                <w:sz w:val="24"/>
                <w:szCs w:val="24"/>
              </w:rPr>
              <w:t xml:space="preserve">     </w:t>
            </w:r>
            <w:r>
              <w:rPr>
                <w:rFonts w:cs="Arial" w:ascii="Arial" w:hAnsi="Arial"/>
                <w:color w:val="000000"/>
                <w:sz w:val="24"/>
                <w:szCs w:val="24"/>
              </w:rPr>
              <w:t>sprzęt gospodarstwa domowego</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20 01 35</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W11.8</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color w:val="000000"/>
                <w:sz w:val="24"/>
                <w:szCs w:val="24"/>
              </w:rPr>
            </w:pPr>
            <w:r>
              <w:rPr>
                <w:rFonts w:cs="Arial" w:ascii="Arial" w:hAnsi="Arial"/>
                <w:color w:val="000000"/>
                <w:sz w:val="24"/>
                <w:szCs w:val="24"/>
              </w:rPr>
              <w:t xml:space="preserve">     </w:t>
            </w:r>
            <w:r>
              <w:rPr>
                <w:rFonts w:cs="Arial" w:ascii="Arial" w:hAnsi="Arial"/>
                <w:color w:val="000000"/>
                <w:sz w:val="24"/>
                <w:szCs w:val="24"/>
              </w:rPr>
              <w:t>ubrania robocze, maski, filtry zanieczyszczone azbestem</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15 02 02</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W11.9</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color w:val="000000"/>
                <w:sz w:val="24"/>
                <w:szCs w:val="24"/>
              </w:rPr>
            </w:pPr>
            <w:r>
              <w:rPr>
                <w:rFonts w:cs="Arial" w:ascii="Arial" w:hAnsi="Arial"/>
                <w:color w:val="000000"/>
                <w:sz w:val="24"/>
                <w:szCs w:val="24"/>
              </w:rPr>
              <w:t xml:space="preserve">     </w:t>
            </w:r>
            <w:r>
              <w:rPr>
                <w:rFonts w:cs="Arial" w:ascii="Arial" w:hAnsi="Arial"/>
                <w:color w:val="000000"/>
                <w:sz w:val="24"/>
                <w:szCs w:val="24"/>
              </w:rPr>
              <w:t>inne wyżej nie wymienione</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kg</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W12</w:t>
            </w:r>
          </w:p>
        </w:tc>
        <w:tc>
          <w:tcPr>
            <w:tcW w:w="8425" w:type="dxa"/>
            <w:gridSpan w:val="4"/>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color w:val="000000"/>
                <w:sz w:val="24"/>
                <w:szCs w:val="24"/>
              </w:rPr>
            </w:pPr>
            <w:r>
              <w:rPr>
                <w:rFonts w:cs="Arial" w:ascii="Arial" w:hAnsi="Arial"/>
                <w:color w:val="000000"/>
                <w:sz w:val="24"/>
                <w:szCs w:val="24"/>
              </w:rPr>
              <w:t>Drogi   </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W12.1</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rPr>
                <w:rFonts w:ascii="Arial" w:hAnsi="Arial" w:cs="Arial"/>
                <w:color w:val="000000"/>
                <w:sz w:val="24"/>
                <w:szCs w:val="24"/>
              </w:rPr>
            </w:pPr>
            <w:r>
              <w:rPr>
                <w:rFonts w:cs="Arial" w:ascii="Arial" w:hAnsi="Arial"/>
                <w:color w:val="000000"/>
                <w:sz w:val="24"/>
                <w:szCs w:val="24"/>
              </w:rPr>
              <w:t xml:space="preserve">     </w:t>
            </w:r>
            <w:r>
              <w:rPr>
                <w:rFonts w:cs="Arial" w:ascii="Arial" w:hAnsi="Arial"/>
                <w:color w:val="000000"/>
                <w:sz w:val="24"/>
                <w:szCs w:val="24"/>
              </w:rPr>
              <w:t>drogi zabezpieczone</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w:t>
            </w:r>
            <w:r>
              <w:rPr>
                <w:rFonts w:cs="Arial" w:ascii="Arial" w:hAnsi="Arial"/>
                <w:color w:val="000000"/>
                <w:sz w:val="24"/>
                <w:szCs w:val="24"/>
              </w:rPr>
              <w:t>-</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km, m</w:t>
            </w:r>
            <w:r>
              <w:rPr>
                <w:rFonts w:cs="Arial" w:ascii="Arial" w:hAnsi="Arial"/>
                <w:color w:val="000000"/>
                <w:sz w:val="24"/>
                <w:szCs w:val="24"/>
                <w:vertAlign w:val="superscript"/>
              </w:rPr>
              <w:t>2</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fill="auto"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w:t>
            </w:r>
          </w:p>
        </w:tc>
      </w:tr>
      <w:tr>
        <w:trPr/>
        <w:tc>
          <w:tcPr>
            <w:tcW w:w="1071"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b/>
                <w:b/>
                <w:bCs/>
                <w:color w:val="000000"/>
                <w:sz w:val="24"/>
                <w:szCs w:val="24"/>
              </w:rPr>
            </w:pPr>
            <w:r>
              <w:rPr>
                <w:rFonts w:cs="Arial" w:ascii="Arial" w:hAnsi="Arial"/>
                <w:b/>
                <w:bCs/>
                <w:color w:val="000000"/>
                <w:sz w:val="24"/>
                <w:szCs w:val="24"/>
              </w:rPr>
              <w:t>W12.2</w:t>
            </w:r>
          </w:p>
        </w:tc>
        <w:tc>
          <w:tcPr>
            <w:tcW w:w="375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rPr>
                <w:rFonts w:ascii="Arial" w:hAnsi="Arial" w:cs="Arial"/>
                <w:color w:val="000000"/>
                <w:sz w:val="24"/>
                <w:szCs w:val="24"/>
              </w:rPr>
            </w:pPr>
            <w:r>
              <w:rPr>
                <w:rFonts w:cs="Arial" w:ascii="Arial" w:hAnsi="Arial"/>
                <w:color w:val="000000"/>
                <w:sz w:val="24"/>
                <w:szCs w:val="24"/>
              </w:rPr>
              <w:t xml:space="preserve">     </w:t>
            </w:r>
            <w:r>
              <w:rPr>
                <w:rFonts w:cs="Arial" w:ascii="Arial" w:hAnsi="Arial"/>
                <w:color w:val="000000"/>
                <w:sz w:val="24"/>
                <w:szCs w:val="24"/>
              </w:rPr>
              <w:t>drogi niezabezpieczone</w:t>
            </w:r>
          </w:p>
        </w:tc>
        <w:tc>
          <w:tcPr>
            <w:tcW w:w="1808"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w:t>
            </w:r>
            <w:r>
              <w:rPr>
                <w:rFonts w:cs="Arial" w:ascii="Arial" w:hAnsi="Arial"/>
                <w:color w:val="000000"/>
                <w:sz w:val="24"/>
                <w:szCs w:val="24"/>
              </w:rPr>
              <w:t>-</w:t>
            </w:r>
          </w:p>
        </w:tc>
        <w:tc>
          <w:tcPr>
            <w:tcW w:w="1407"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km, m</w:t>
            </w:r>
            <w:r>
              <w:rPr>
                <w:rFonts w:cs="Arial" w:ascii="Arial" w:hAnsi="Arial"/>
                <w:color w:val="000000"/>
                <w:sz w:val="24"/>
                <w:szCs w:val="24"/>
                <w:vertAlign w:val="superscript"/>
              </w:rPr>
              <w:t>2</w:t>
            </w:r>
          </w:p>
        </w:tc>
        <w:tc>
          <w:tcPr>
            <w:tcW w:w="1460" w:type="dxa"/>
            <w:tcBorders>
              <w:top w:val="single" w:sz="8" w:space="0" w:color="9BBB59"/>
              <w:left w:val="single" w:sz="8" w:space="0" w:color="9BBB59"/>
              <w:bottom w:val="single" w:sz="8" w:space="0" w:color="9BBB59"/>
              <w:right w:val="single" w:sz="8" w:space="0" w:color="9BBB59"/>
              <w:insideH w:val="single" w:sz="8" w:space="0" w:color="9BBB59"/>
              <w:insideV w:val="single" w:sz="8" w:space="0" w:color="9BBB59"/>
            </w:tcBorders>
            <w:shd w:color="auto" w:fill="E6EED5" w:val="clear"/>
          </w:tcPr>
          <w:p>
            <w:pPr>
              <w:pStyle w:val="Normal"/>
              <w:spacing w:before="0" w:after="0"/>
              <w:jc w:val="center"/>
              <w:rPr>
                <w:rFonts w:ascii="Arial" w:hAnsi="Arial" w:cs="Arial"/>
                <w:color w:val="000000"/>
                <w:sz w:val="24"/>
                <w:szCs w:val="24"/>
              </w:rPr>
            </w:pPr>
            <w:r>
              <w:rPr>
                <w:rFonts w:cs="Arial" w:ascii="Arial" w:hAnsi="Arial"/>
                <w:color w:val="000000"/>
                <w:sz w:val="24"/>
                <w:szCs w:val="24"/>
              </w:rPr>
              <w:t> </w:t>
            </w:r>
          </w:p>
        </w:tc>
      </w:tr>
    </w:tbl>
    <w:p>
      <w:pPr>
        <w:pStyle w:val="Normal"/>
        <w:rPr>
          <w:rFonts w:ascii="Arial" w:hAnsi="Arial" w:cs="Arial"/>
        </w:rPr>
      </w:pPr>
      <w:r>
        <w:rPr>
          <w:rFonts w:cs="Arial" w:ascii="Arial" w:hAnsi="Arial"/>
        </w:rPr>
      </w:r>
    </w:p>
    <w:p>
      <w:pPr>
        <w:pStyle w:val="Normal"/>
        <w:spacing w:lineRule="auto" w:line="240" w:beforeAutospacing="1" w:afterAutospacing="1"/>
        <w:rPr>
          <w:rFonts w:ascii="Arial" w:hAnsi="Arial" w:cs="Arial"/>
          <w:sz w:val="24"/>
          <w:szCs w:val="24"/>
        </w:rPr>
      </w:pPr>
      <w:r>
        <w:rPr>
          <w:rFonts w:cs="Arial" w:ascii="Arial" w:hAnsi="Arial"/>
          <w:b/>
          <w:sz w:val="24"/>
          <w:szCs w:val="24"/>
        </w:rPr>
        <w:t>UWAGA</w:t>
      </w:r>
      <w:r>
        <w:rPr>
          <w:rFonts w:cs="Arial" w:ascii="Arial" w:hAnsi="Arial"/>
          <w:sz w:val="24"/>
          <w:szCs w:val="24"/>
        </w:rPr>
        <w:t xml:space="preserve"> - jeżeli podano ilości wyrobów w innych jednostkach niż podane w tabeli prosimy o stosowanie następujących przeliczników:</w:t>
        <w:br/>
        <w:t>dla W01 i W02: 1 m</w:t>
      </w:r>
      <w:r>
        <w:rPr>
          <w:rFonts w:cs="Arial" w:ascii="Arial" w:hAnsi="Arial"/>
          <w:sz w:val="24"/>
          <w:szCs w:val="24"/>
          <w:vertAlign w:val="superscript"/>
        </w:rPr>
        <w:t>3</w:t>
      </w:r>
      <w:r>
        <w:rPr>
          <w:rFonts w:cs="Arial" w:ascii="Arial" w:hAnsi="Arial"/>
          <w:sz w:val="24"/>
          <w:szCs w:val="24"/>
        </w:rPr>
        <w:t xml:space="preserve"> = 1350 kg </w:t>
        <w:br/>
        <w:t>dla W05, W06 i W08: 1 m</w:t>
      </w:r>
      <w:r>
        <w:rPr>
          <w:rFonts w:cs="Arial" w:ascii="Arial" w:hAnsi="Arial"/>
          <w:sz w:val="24"/>
          <w:szCs w:val="24"/>
          <w:vertAlign w:val="superscript"/>
        </w:rPr>
        <w:t>2</w:t>
      </w:r>
      <w:r>
        <w:rPr>
          <w:rFonts w:cs="Arial" w:ascii="Arial" w:hAnsi="Arial"/>
          <w:sz w:val="24"/>
          <w:szCs w:val="24"/>
        </w:rPr>
        <w:t xml:space="preserve"> = 11,5 kg</w:t>
      </w:r>
    </w:p>
    <w:p>
      <w:pPr>
        <w:pStyle w:val="Normal"/>
        <w:rPr>
          <w:rFonts w:ascii="Arial" w:hAnsi="Arial" w:cs="Arial"/>
        </w:rPr>
      </w:pPr>
      <w:r>
        <w:rPr>
          <w:rFonts w:cs="Arial" w:ascii="Arial" w:hAnsi="Arial"/>
        </w:rPr>
      </w:r>
    </w:p>
    <w:p>
      <w:pPr>
        <w:pStyle w:val="Normal"/>
        <w:spacing w:lineRule="auto" w:line="360"/>
        <w:rPr>
          <w:rFonts w:ascii="Arial" w:hAnsi="Arial" w:cs="Arial"/>
          <w:b/>
          <w:b/>
          <w:bCs/>
        </w:rPr>
      </w:pPr>
      <w:r>
        <w:rPr>
          <w:rFonts w:cs="Arial" w:ascii="Arial" w:hAnsi="Arial"/>
          <w:b/>
          <w:bCs/>
        </w:rPr>
      </w:r>
    </w:p>
    <w:p>
      <w:pPr>
        <w:pStyle w:val="Normal"/>
        <w:tabs>
          <w:tab w:val="left" w:pos="12891" w:leader="none"/>
        </w:tabs>
        <w:jc w:val="center"/>
        <w:rPr/>
      </w:pPr>
      <w:r>
        <w:rPr/>
      </w:r>
    </w:p>
    <w:p>
      <w:pPr>
        <w:sectPr>
          <w:headerReference w:type="default" r:id="rId69"/>
          <w:footerReference w:type="default" r:id="rId70"/>
          <w:footnotePr>
            <w:numFmt w:val="decimal"/>
          </w:footnotePr>
          <w:type w:val="nextPage"/>
          <w:pgSz w:w="11906" w:h="16838"/>
          <w:pgMar w:left="992" w:right="1418" w:header="709" w:top="1418" w:footer="709" w:bottom="1418" w:gutter="0"/>
          <w:pgNumType w:fmt="decimal"/>
          <w:formProt w:val="false"/>
          <w:textDirection w:val="lrTb"/>
          <w:docGrid w:type="default" w:linePitch="360" w:charSpace="0"/>
        </w:sectPr>
      </w:pP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r>
        <w:br w:type="page"/>
      </w:r>
    </w:p>
    <w:p>
      <w:pPr>
        <w:pStyle w:val="Nagwek1"/>
        <w:rPr/>
      </w:pPr>
      <w:bookmarkStart w:id="231" w:name="_Toc20296887"/>
      <w:r>
        <w:rPr/>
        <w:t>8</w:t>
      </w:r>
      <w:r>
        <w:rPr>
          <w:i/>
        </w:rPr>
        <w:t>.</w:t>
      </w:r>
      <w:r>
        <w:rPr/>
        <w:t xml:space="preserve"> BIBLIOGRAFIA</w:t>
      </w:r>
      <w:bookmarkEnd w:id="231"/>
    </w:p>
    <w:p>
      <w:pPr>
        <w:pStyle w:val="Style24"/>
        <w:widowControl/>
        <w:numPr>
          <w:ilvl w:val="0"/>
          <w:numId w:val="40"/>
        </w:numPr>
        <w:spacing w:lineRule="auto" w:line="360" w:before="67" w:after="200"/>
        <w:ind w:left="714" w:right="2126" w:hanging="357"/>
        <w:rPr>
          <w:rFonts w:ascii="Arial" w:hAnsi="Arial" w:cs="Arial"/>
          <w:bCs/>
          <w:sz w:val="22"/>
          <w:szCs w:val="22"/>
        </w:rPr>
      </w:pPr>
      <w:r>
        <w:rPr>
          <w:rStyle w:val="FontStyle89"/>
          <w:rFonts w:cs="Arial" w:ascii="Arial" w:hAnsi="Arial"/>
          <w:b w:val="false"/>
          <w:sz w:val="22"/>
          <w:szCs w:val="22"/>
        </w:rPr>
        <w:t>Program Oczyszczania Kraju z Azbestu na lata 2009 – 2032;</w:t>
      </w:r>
    </w:p>
    <w:p>
      <w:pPr>
        <w:pStyle w:val="Default"/>
        <w:numPr>
          <w:ilvl w:val="0"/>
          <w:numId w:val="40"/>
        </w:numPr>
        <w:spacing w:lineRule="auto" w:line="360"/>
        <w:ind w:left="714" w:hanging="357"/>
        <w:jc w:val="both"/>
        <w:rPr>
          <w:rFonts w:ascii="Arial" w:hAnsi="Arial" w:cs="Arial"/>
          <w:sz w:val="22"/>
          <w:szCs w:val="22"/>
        </w:rPr>
      </w:pPr>
      <w:r>
        <w:rPr>
          <w:rFonts w:cs="Arial" w:ascii="Arial" w:hAnsi="Arial"/>
          <w:sz w:val="22"/>
          <w:szCs w:val="22"/>
        </w:rPr>
        <w:t>Informator o zadaniach jednostek samorządu terytorialnego dla realizacji „Programu usuwania azbestu i wyrobów zawierających azbest stosowanych na terytorium Polski” - materiał przygotowany przez Ministerstwo Gospodarki i Pracy, Warszawa 2005;</w:t>
      </w:r>
    </w:p>
    <w:p>
      <w:pPr>
        <w:pStyle w:val="Default"/>
        <w:numPr>
          <w:ilvl w:val="0"/>
          <w:numId w:val="40"/>
        </w:numPr>
        <w:spacing w:lineRule="auto" w:line="360"/>
        <w:ind w:left="714" w:hanging="357"/>
        <w:jc w:val="both"/>
        <w:rPr>
          <w:rFonts w:ascii="Arial" w:hAnsi="Arial" w:cs="Arial"/>
          <w:sz w:val="22"/>
          <w:szCs w:val="22"/>
        </w:rPr>
      </w:pPr>
      <w:r>
        <w:rPr>
          <w:rFonts w:cs="Arial" w:ascii="Arial" w:hAnsi="Arial"/>
          <w:sz w:val="22"/>
          <w:szCs w:val="22"/>
        </w:rPr>
        <w:t>Ł. Bystrzanowski, Każdy przedsiębiorca powinien znać zasady gry – przepisy dotyczące ochrony środowiska, Krupski Młyn 2012;</w:t>
      </w:r>
    </w:p>
    <w:p>
      <w:pPr>
        <w:pStyle w:val="Default"/>
        <w:numPr>
          <w:ilvl w:val="0"/>
          <w:numId w:val="40"/>
        </w:numPr>
        <w:spacing w:lineRule="auto" w:line="360"/>
        <w:ind w:left="714" w:hanging="357"/>
        <w:jc w:val="both"/>
        <w:rPr>
          <w:rFonts w:ascii="Arial" w:hAnsi="Arial" w:cs="Arial"/>
          <w:sz w:val="22"/>
          <w:szCs w:val="22"/>
        </w:rPr>
      </w:pPr>
      <w:r>
        <w:rPr>
          <w:rFonts w:cs="Arial" w:ascii="Arial" w:hAnsi="Arial"/>
          <w:sz w:val="22"/>
          <w:szCs w:val="22"/>
        </w:rPr>
        <w:t>Prawo Ochrony Środowiska on-line Wolters Kluwer;</w:t>
      </w:r>
    </w:p>
    <w:p>
      <w:pPr>
        <w:pStyle w:val="Default"/>
        <w:numPr>
          <w:ilvl w:val="0"/>
          <w:numId w:val="40"/>
        </w:numPr>
        <w:spacing w:lineRule="auto" w:line="360"/>
        <w:ind w:left="714" w:hanging="357"/>
        <w:jc w:val="both"/>
        <w:rPr>
          <w:rFonts w:ascii="Arial" w:hAnsi="Arial" w:cs="Arial"/>
          <w:sz w:val="22"/>
          <w:szCs w:val="22"/>
        </w:rPr>
      </w:pPr>
      <w:r>
        <w:rPr>
          <w:rFonts w:cs="Arial" w:ascii="Arial" w:hAnsi="Arial"/>
          <w:sz w:val="22"/>
          <w:szCs w:val="22"/>
        </w:rPr>
        <w:t xml:space="preserve">www.miir.gov.pl </w:t>
      </w:r>
    </w:p>
    <w:p>
      <w:pPr>
        <w:pStyle w:val="Default"/>
        <w:numPr>
          <w:ilvl w:val="0"/>
          <w:numId w:val="40"/>
        </w:numPr>
        <w:spacing w:lineRule="auto" w:line="360"/>
        <w:ind w:left="714" w:hanging="357"/>
        <w:jc w:val="both"/>
        <w:rPr>
          <w:rFonts w:ascii="Arial" w:hAnsi="Arial" w:cs="Arial"/>
          <w:sz w:val="22"/>
          <w:szCs w:val="22"/>
        </w:rPr>
      </w:pPr>
      <w:r>
        <w:rPr>
          <w:rFonts w:cs="Arial" w:ascii="Arial" w:hAnsi="Arial"/>
          <w:sz w:val="22"/>
          <w:szCs w:val="22"/>
        </w:rPr>
        <w:t>www.bazaazbestowa.gov.pl;</w:t>
      </w:r>
    </w:p>
    <w:p>
      <w:pPr>
        <w:pStyle w:val="Default"/>
        <w:numPr>
          <w:ilvl w:val="0"/>
          <w:numId w:val="40"/>
        </w:numPr>
        <w:spacing w:lineRule="auto" w:line="360"/>
        <w:ind w:left="714" w:hanging="357"/>
        <w:jc w:val="both"/>
        <w:rPr>
          <w:rFonts w:ascii="Arial" w:hAnsi="Arial" w:cs="Arial"/>
          <w:sz w:val="22"/>
          <w:szCs w:val="22"/>
        </w:rPr>
      </w:pPr>
      <w:r>
        <w:rPr>
          <w:rFonts w:cs="Arial" w:ascii="Arial" w:hAnsi="Arial"/>
          <w:sz w:val="22"/>
          <w:szCs w:val="22"/>
        </w:rPr>
        <w:t>www.azbest.ekoscan.pl;</w:t>
      </w:r>
    </w:p>
    <w:p>
      <w:pPr>
        <w:pStyle w:val="Default"/>
        <w:spacing w:lineRule="auto" w:line="360"/>
        <w:ind w:left="714" w:hanging="0"/>
        <w:jc w:val="both"/>
        <w:rPr>
          <w:rFonts w:ascii="Arial" w:hAnsi="Arial" w:cs="Arial"/>
          <w:sz w:val="22"/>
          <w:szCs w:val="22"/>
        </w:rPr>
      </w:pPr>
      <w:r>
        <w:rPr>
          <w:rFonts w:cs="Arial" w:ascii="Arial" w:hAnsi="Arial"/>
          <w:sz w:val="22"/>
          <w:szCs w:val="22"/>
        </w:rPr>
      </w:r>
    </w:p>
    <w:p>
      <w:pPr>
        <w:pStyle w:val="Default"/>
        <w:spacing w:lineRule="auto" w:line="360"/>
        <w:ind w:left="714" w:hanging="0"/>
        <w:jc w:val="both"/>
        <w:rPr/>
      </w:pPr>
      <w:r>
        <w:rPr/>
      </w:r>
    </w:p>
    <w:p>
      <w:pPr>
        <w:sectPr>
          <w:footnotePr>
            <w:numFmt w:val="decimal"/>
          </w:footnotePr>
          <w:type w:val="continuous"/>
          <w:pgSz w:w="11906" w:h="16838"/>
          <w:pgMar w:left="992" w:right="1418" w:header="709" w:top="1418" w:footer="709" w:bottom="1418" w:gutter="0"/>
          <w:formProt w:val="false"/>
          <w:textDirection w:val="lrTb"/>
          <w:docGrid w:type="default" w:linePitch="360" w:charSpace="0"/>
        </w:sectPr>
      </w:pPr>
    </w:p>
    <w:p>
      <w:pPr>
        <w:pStyle w:val="Normal"/>
        <w:widowControl/>
        <w:bidi w:val="0"/>
        <w:spacing w:lineRule="auto" w:line="276" w:before="0" w:after="200"/>
        <w:jc w:val="left"/>
        <w:rPr/>
      </w:pPr>
      <w:r>
        <w:rPr/>
      </w:r>
    </w:p>
    <w:p>
      <w:pPr>
        <w:sectPr>
          <w:footnotePr>
            <w:numFmt w:val="decimal"/>
          </w:footnotePr>
          <w:type w:val="continuous"/>
          <w:pgSz w:w="11906" w:h="16838"/>
          <w:pgMar w:left="992" w:right="1418" w:header="709" w:top="1418" w:footer="709" w:bottom="1418" w:gutter="0"/>
          <w:formProt w:val="false"/>
          <w:textDirection w:val="lrTb"/>
          <w:docGrid w:type="default" w:linePitch="360" w:charSpace="0"/>
        </w:sectPr>
      </w:pPr>
    </w:p>
    <w:p>
      <w:pPr>
        <w:pStyle w:val="Normal"/>
        <w:widowControl/>
        <w:bidi w:val="0"/>
        <w:spacing w:lineRule="auto" w:line="276" w:before="0" w:after="200"/>
        <w:jc w:val="left"/>
        <w:rPr/>
      </w:pPr>
      <w:r>
        <w:rPr/>
      </w:r>
    </w:p>
    <w:p>
      <w:pPr>
        <w:sectPr>
          <w:footnotePr>
            <w:numFmt w:val="decimal"/>
          </w:footnotePr>
          <w:type w:val="continuous"/>
          <w:pgSz w:w="11906" w:h="16838"/>
          <w:pgMar w:left="992" w:right="1418" w:header="709" w:top="1418" w:footer="709" w:bottom="1418" w:gutter="0"/>
          <w:formProt w:val="false"/>
          <w:textDirection w:val="lrTb"/>
          <w:docGrid w:type="default" w:linePitch="360" w:charSpace="0"/>
        </w:sectPr>
      </w:pPr>
    </w:p>
    <w:p>
      <w:pPr>
        <w:pStyle w:val="Normal"/>
        <w:widowControl/>
        <w:bidi w:val="0"/>
        <w:spacing w:lineRule="auto" w:line="276" w:before="0" w:after="200"/>
        <w:jc w:val="left"/>
        <w:rPr/>
      </w:pPr>
      <w:r>
        <w:rPr/>
      </w:r>
    </w:p>
    <w:p>
      <w:pPr>
        <w:sectPr>
          <w:footnotePr>
            <w:numFmt w:val="decimal"/>
          </w:footnotePr>
          <w:type w:val="continuous"/>
          <w:pgSz w:w="11906" w:h="16838"/>
          <w:pgMar w:left="992" w:right="1418" w:header="709" w:top="1418" w:footer="709" w:bottom="1418" w:gutter="0"/>
          <w:formProt w:val="false"/>
          <w:textDirection w:val="lrTb"/>
          <w:docGrid w:type="default" w:linePitch="360" w:charSpace="0"/>
        </w:sectPr>
      </w:pPr>
    </w:p>
    <w:sectPr>
      <w:footnotePr>
        <w:numFmt w:val="decimal"/>
      </w:footnotePr>
      <w:type w:val="continuous"/>
      <w:pgSz w:w="11906" w:h="16838"/>
      <w:pgMar w:left="992" w:right="1418" w:header="709" w:top="1418" w:footer="709" w:bottom="1418" w:gutter="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libri">
    <w:charset w:val="ee"/>
    <w:family w:val="roman"/>
    <w:pitch w:val="variable"/>
  </w:font>
  <w:font w:name="Arial">
    <w:charset w:val="ee"/>
    <w:family w:val="roman"/>
    <w:pitch w:val="variable"/>
  </w:font>
  <w:font w:name="Cambria">
    <w:charset w:val="ee"/>
    <w:family w:val="roman"/>
    <w:pitch w:val="variable"/>
  </w:font>
  <w:font w:name="Tahoma">
    <w:charset w:val="ee"/>
    <w:family w:val="roman"/>
    <w:pitch w:val="variable"/>
  </w:font>
  <w:font w:name="Times New Roman">
    <w:charset w:val="ee"/>
    <w:family w:val="roman"/>
    <w:pitch w:val="variable"/>
  </w:font>
  <w:font w:name="Arial Unicode MS">
    <w:charset w:val="ee"/>
    <w:family w:val="roman"/>
    <w:pitch w:val="variable"/>
  </w:font>
  <w:font w:name="Arial Black">
    <w:charset w:val="ee"/>
    <w:family w:val="roman"/>
    <w:pitch w:val="variable"/>
  </w:font>
  <w:font w:name="Verdana">
    <w:charset w:val="ee"/>
    <w:family w:val="roman"/>
    <w:pitch w:val="variable"/>
  </w:font>
  <w:font w:name="Arial Narrow">
    <w:charset w:val="ee"/>
    <w:family w:val="roman"/>
    <w:pitch w:val="variable"/>
  </w:font>
  <w:font w:name="Liberation Sans">
    <w:altName w:val="Arial"/>
    <w:charset w:val="ee"/>
    <w:family w:val="roman"/>
    <w:pitch w:val="variable"/>
  </w:font>
  <w:font w:name="Comic Sans MS">
    <w:charset w:val="ee"/>
    <w:family w:val="roman"/>
    <w:pitch w:val="variable"/>
  </w:font>
  <w:font w:name="Symbol">
    <w:charset w:val="ee"/>
    <w:family w:val="roman"/>
    <w:pitch w:val="variable"/>
  </w:font>
  <w:font w:name="Calibri">
    <w:charset w:val="ee"/>
    <w:family w:val="auto"/>
    <w:pitch w:val="default"/>
  </w:font>
  <w:font w:name="Courier New">
    <w:charset w:val="01"/>
    <w:family w:val="modern"/>
    <w:pitch w:val="fixed"/>
  </w:font>
  <w:font w:name="Wingdings">
    <w:charset w:val="02"/>
    <w:family w:val="auto"/>
    <w:pitch w:val="variable"/>
  </w:font>
  <w:font w:name="Arial">
    <w:charset w:val="01"/>
    <w:family w:val="swiss"/>
    <w:pitch w:val="variable"/>
  </w:font>
  <w:font w:name="Times New Roman">
    <w:charset w:val="01"/>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Stopka"/>
      <w:pBdr>
        <w:top w:val="single" w:sz="4" w:space="1" w:color="D9D9D9"/>
      </w:pBdr>
      <w:rPr/>
    </w:pPr>
    <w:r>
      <w:rPr/>
    </w:r>
  </w:p>
  <w:p>
    <w:pPr>
      <w:pStyle w:val="Stopka"/>
      <w:jc w:val="right"/>
      <w:rPr>
        <w:i/>
        <w:i/>
      </w:rPr>
    </w:pPr>
    <w:r>
      <w:rPr>
        <w:i/>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121698272"/>
    </w:sdtPr>
    <w:sdtContent>
      <w:p>
        <w:pPr>
          <w:pStyle w:val="Stopka"/>
          <w:pBdr>
            <w:top w:val="single" w:sz="4" w:space="1" w:color="D9D9D9"/>
          </w:pBdr>
          <w:jc w:val="right"/>
          <w:rPr/>
        </w:pPr>
        <w:r>
          <w:rPr/>
          <w:fldChar w:fldCharType="begin"/>
        </w:r>
        <w:r>
          <w:rPr/>
          <w:instrText> PAGE </w:instrText>
        </w:r>
        <w:r>
          <w:rPr/>
          <w:fldChar w:fldCharType="separate"/>
        </w:r>
        <w:r>
          <w:rPr/>
          <w:t>86</w:t>
        </w:r>
        <w:r>
          <w:rPr/>
          <w:fldChar w:fldCharType="end"/>
        </w:r>
        <w:r>
          <w:rPr/>
          <w:t xml:space="preserve"> </w:t>
        </w:r>
        <w:r>
          <w:rPr/>
          <w:t xml:space="preserve">| </w:t>
        </w:r>
        <w:r>
          <w:rPr>
            <w:color w:val="7F7F7F" w:themeColor="background1" w:themeShade="7f"/>
            <w:spacing w:val="60"/>
          </w:rPr>
          <w:t>Strona</w:t>
        </w:r>
      </w:p>
    </w:sdtContent>
  </w:sdt>
  <w:p>
    <w:pPr>
      <w:pStyle w:val="Stopka"/>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Stopka"/>
      <w:pBdr>
        <w:top w:val="single" w:sz="4" w:space="1" w:color="D9D9D9"/>
      </w:pBdr>
      <w:rPr/>
    </w:pPr>
    <w:r>
      <w:rPr/>
    </w:r>
  </w:p>
  <w:p>
    <w:pPr>
      <w:pStyle w:val="Stopka"/>
      <w:jc w:val="right"/>
      <w:rPr>
        <w:i/>
        <w:i/>
      </w:rPr>
    </w:pPr>
    <w:r>
      <w:rPr>
        <w:i/>
      </w:rPr>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405713124"/>
    </w:sdtPr>
    <w:sdtContent>
      <w:p>
        <w:pPr>
          <w:pStyle w:val="Stopka"/>
          <w:pBdr>
            <w:top w:val="single" w:sz="4" w:space="1" w:color="D9D9D9"/>
          </w:pBdr>
          <w:jc w:val="right"/>
          <w:rPr/>
        </w:pPr>
        <w:r>
          <w:rPr/>
          <w:fldChar w:fldCharType="begin"/>
        </w:r>
        <w:r>
          <w:rPr/>
          <w:instrText> PAGE </w:instrText>
        </w:r>
        <w:r>
          <w:rPr/>
          <w:fldChar w:fldCharType="separate"/>
        </w:r>
        <w:r>
          <w:rPr/>
          <w:t>89</w:t>
        </w:r>
        <w:r>
          <w:rPr/>
          <w:fldChar w:fldCharType="end"/>
        </w:r>
        <w:r>
          <w:rPr/>
          <w:t xml:space="preserve"> </w:t>
        </w:r>
        <w:r>
          <w:rPr/>
          <w:t xml:space="preserve">| </w:t>
        </w:r>
        <w:r>
          <w:rPr>
            <w:color w:val="7F7F7F" w:themeColor="background1" w:themeShade="7f"/>
            <w:spacing w:val="60"/>
          </w:rPr>
          <w:t>Strona</w:t>
        </w:r>
      </w:p>
    </w:sdtContent>
  </w:sdt>
  <w:p>
    <w:pPr>
      <w:pStyle w:val="Stopka"/>
      <w:rPr/>
    </w:pPr>
    <w:r>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Stopka"/>
      <w:pBdr>
        <w:top w:val="single" w:sz="4" w:space="1" w:color="D9D9D9"/>
      </w:pBdr>
      <w:rPr/>
    </w:pPr>
    <w:r>
      <w:rPr/>
    </w:r>
  </w:p>
  <w:p>
    <w:pPr>
      <w:pStyle w:val="Stopka"/>
      <w:jc w:val="right"/>
      <w:rPr>
        <w:i/>
        <w:i/>
      </w:rPr>
    </w:pPr>
    <w:r>
      <w:rPr>
        <w:i/>
      </w:rPr>
    </w:r>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1813568680"/>
    </w:sdtPr>
    <w:sdtContent>
      <w:p>
        <w:pPr>
          <w:pStyle w:val="Stopka"/>
          <w:pBdr>
            <w:top w:val="single" w:sz="4" w:space="1" w:color="D9D9D9"/>
          </w:pBdr>
          <w:jc w:val="right"/>
          <w:rPr/>
        </w:pPr>
        <w:r>
          <w:rPr/>
          <w:fldChar w:fldCharType="begin"/>
        </w:r>
        <w:r>
          <w:rPr/>
          <w:instrText> PAGE </w:instrText>
        </w:r>
        <w:r>
          <w:rPr/>
          <w:fldChar w:fldCharType="separate"/>
        </w:r>
        <w:r>
          <w:rPr/>
          <w:t>91</w:t>
        </w:r>
        <w:r>
          <w:rPr/>
          <w:fldChar w:fldCharType="end"/>
        </w:r>
        <w:r>
          <w:rPr/>
          <w:t xml:space="preserve"> </w:t>
        </w:r>
        <w:r>
          <w:rPr/>
          <w:t xml:space="preserve">| </w:t>
        </w:r>
        <w:r>
          <w:rPr>
            <w:color w:val="7F7F7F" w:themeColor="background1" w:themeShade="7f"/>
            <w:spacing w:val="60"/>
          </w:rPr>
          <w:t>Strona</w:t>
        </w:r>
      </w:p>
    </w:sdtContent>
  </w:sdt>
  <w:p>
    <w:pPr>
      <w:pStyle w:val="Stopka"/>
      <w:rPr/>
    </w:pPr>
    <w:r>
      <w:rPr/>
    </w:r>
  </w:p>
</w:ftr>
</file>

<file path=word/footer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Bottom of Page)"/>
        <w:docPartUnique w:val="true"/>
      </w:docPartObj>
      <w:id w:val="752898142"/>
    </w:sdtPr>
    <w:sdtContent>
      <w:p>
        <w:pPr>
          <w:pStyle w:val="Stopka"/>
          <w:pBdr>
            <w:top w:val="single" w:sz="4" w:space="1" w:color="D9D9D9"/>
          </w:pBdr>
          <w:jc w:val="right"/>
          <w:rPr/>
        </w:pPr>
        <w:r>
          <w:rPr/>
          <w:fldChar w:fldCharType="begin"/>
        </w:r>
        <w:r>
          <w:rPr/>
          <w:instrText> PAGE </w:instrText>
        </w:r>
        <w:r>
          <w:rPr/>
          <w:fldChar w:fldCharType="separate"/>
        </w:r>
        <w:r>
          <w:rPr/>
          <w:t>94</w:t>
        </w:r>
        <w:r>
          <w:rPr/>
          <w:fldChar w:fldCharType="end"/>
        </w:r>
        <w:r>
          <w:rPr/>
          <w:t xml:space="preserve"> </w:t>
        </w:r>
        <w:r>
          <w:rPr/>
          <w:t xml:space="preserve">| </w:t>
        </w:r>
        <w:r>
          <w:rPr>
            <w:color w:val="7F7F7F" w:themeColor="background1" w:themeShade="7f"/>
            <w:spacing w:val="60"/>
          </w:rPr>
          <w:t>Strona</w:t>
        </w:r>
      </w:p>
    </w:sdtContent>
  </w:sdt>
  <w:p>
    <w:pPr>
      <w:pStyle w:val="Stopka"/>
      <w:rPr/>
    </w:pPr>
    <w:r>
      <w:rPr/>
    </w:r>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footnote w:id="0" w:type="separator">
    <w:p>
      <w:r>
        <w:separator/>
      </w:r>
    </w:p>
  </w:footnote>
  <w:footnote w:id="1" w:type="continuationSeparator">
    <w:p>
      <w:r>
        <w:continuationSeparator/>
      </w:r>
    </w:p>
  </w:footnote>
  <w:footnote w:id="2">
    <w:p>
      <w:pPr>
        <w:pStyle w:val="Przypisdolny"/>
        <w:rPr/>
      </w:pPr>
      <w:r>
        <w:rPr>
          <w:rStyle w:val="Znakiprzypiswdolnych"/>
        </w:rPr>
        <w:footnoteRef/>
      </w:r>
      <w:r>
        <w:rPr>
          <w:sz w:val="16"/>
          <w:szCs w:val="16"/>
        </w:rPr>
        <w:t xml:space="preserve"> </w:t>
      </w:r>
      <w:r>
        <w:rPr>
          <w:sz w:val="16"/>
          <w:szCs w:val="16"/>
        </w:rPr>
        <w:t xml:space="preserve">GUS, Bank Danych Lokalnych,  stan na 31.12. 2018 r. </w:t>
      </w:r>
    </w:p>
  </w:footnote>
  <w:footnote w:id="3">
    <w:p>
      <w:pPr>
        <w:pStyle w:val="Przypisdolny"/>
        <w:rPr/>
      </w:pPr>
      <w:r>
        <w:rPr>
          <w:rStyle w:val="Znakiprzypiswdolnych"/>
        </w:rPr>
        <w:footnoteRef/>
      </w:r>
      <w:r>
        <w:rPr>
          <w:sz w:val="16"/>
          <w:szCs w:val="16"/>
        </w:rPr>
        <w:t xml:space="preserve"> </w:t>
      </w:r>
      <w:r>
        <w:rPr>
          <w:sz w:val="16"/>
          <w:szCs w:val="16"/>
        </w:rPr>
        <w:t>Źródło: GUS</w:t>
      </w:r>
    </w:p>
  </w:footnote>
  <w:footnote w:id="4">
    <w:p>
      <w:pPr>
        <w:pStyle w:val="Przypisdolny"/>
        <w:tabs>
          <w:tab w:val="left" w:pos="996" w:leader="none"/>
        </w:tabs>
        <w:rPr/>
      </w:pPr>
      <w:r>
        <w:rPr>
          <w:rStyle w:val="Znakiprzypiswdolnych"/>
        </w:rPr>
        <w:footnoteRef/>
      </w:r>
      <w:r>
        <w:rPr/>
        <w:t xml:space="preserve"> </w:t>
      </w:r>
      <w:r>
        <w:rPr/>
        <w:t>www.bazaazbestowa.gov.pl</w:t>
      </w:r>
    </w:p>
  </w:footnote>
  <w:footnote w:id="5">
    <w:p>
      <w:pPr>
        <w:pStyle w:val="Przypisdolny"/>
        <w:rPr/>
      </w:pPr>
      <w:r>
        <w:rPr>
          <w:rStyle w:val="Znakiprzypiswdolnych"/>
        </w:rPr>
        <w:footnoteRef/>
      </w:r>
      <w:r>
        <w:rPr>
          <w:sz w:val="16"/>
          <w:szCs w:val="16"/>
        </w:rPr>
        <w:t xml:space="preserve"> </w:t>
      </w:r>
      <w:r>
        <w:rPr>
          <w:sz w:val="16"/>
          <w:szCs w:val="16"/>
        </w:rPr>
        <w:t>Opracowanie własne</w:t>
      </w:r>
    </w:p>
  </w:footnote>
  <w:footnote w:id="6">
    <w:p>
      <w:pPr>
        <w:pStyle w:val="Przypisdolny"/>
        <w:rPr/>
      </w:pPr>
      <w:r>
        <w:rPr>
          <w:rStyle w:val="Znakiprzypiswdolnych"/>
        </w:rPr>
        <w:footnoteRef/>
      </w:r>
      <w:r>
        <w:rPr>
          <w:sz w:val="16"/>
          <w:szCs w:val="16"/>
        </w:rPr>
        <w:t xml:space="preserve"> </w:t>
      </w:r>
      <w:r>
        <w:rPr>
          <w:sz w:val="16"/>
          <w:szCs w:val="16"/>
        </w:rPr>
        <w:t xml:space="preserve">Opracowano na podstawie danych z Bazy Azbestowej ( </w:t>
      </w:r>
      <w:hyperlink r:id="rId1">
        <w:r>
          <w:rPr>
            <w:rStyle w:val="Czeinternetowe"/>
            <w:sz w:val="16"/>
            <w:szCs w:val="16"/>
          </w:rPr>
          <w:t>www.bazaazbestowa.gov.pl</w:t>
        </w:r>
      </w:hyperlink>
      <w:r>
        <w:rPr>
          <w:sz w:val="16"/>
          <w:szCs w:val="16"/>
        </w:rPr>
        <w:t xml:space="preserve">) </w:t>
      </w:r>
    </w:p>
  </w:footnote>
  <w:footnote w:id="7">
    <w:p>
      <w:pPr>
        <w:pStyle w:val="Przypisdolny"/>
        <w:rPr/>
      </w:pPr>
      <w:r>
        <w:rPr>
          <w:rStyle w:val="Znakiprzypiswdolnych"/>
        </w:rPr>
        <w:footnoteRef/>
      </w:r>
      <w:r>
        <w:rPr>
          <w:sz w:val="16"/>
          <w:szCs w:val="16"/>
        </w:rPr>
        <w:t xml:space="preserve">   </w:t>
      </w:r>
      <w:r>
        <w:rPr>
          <w:sz w:val="16"/>
          <w:szCs w:val="16"/>
        </w:rPr>
        <w:t>Opracowanie własne</w:t>
      </w:r>
    </w:p>
  </w:footnote>
  <w:footnote w:id="8">
    <w:p>
      <w:pPr>
        <w:pStyle w:val="Przypisdolny"/>
        <w:rPr/>
      </w:pPr>
      <w:r>
        <w:rPr>
          <w:rStyle w:val="Znakiprzypiswdolnych"/>
        </w:rPr>
        <w:footnoteRef/>
      </w:r>
      <w:r>
        <w:rPr>
          <w:sz w:val="16"/>
          <w:szCs w:val="16"/>
        </w:rPr>
        <w:t xml:space="preserve"> </w:t>
      </w:r>
      <w:r>
        <w:rPr>
          <w:sz w:val="16"/>
          <w:szCs w:val="16"/>
        </w:rPr>
        <w:t>Opracowanie własne</w:t>
      </w:r>
    </w:p>
  </w:footnote>
  <w:footnote w:id="9">
    <w:p>
      <w:pPr>
        <w:pStyle w:val="Przypisdolny"/>
        <w:rPr/>
      </w:pPr>
      <w:r>
        <w:rPr>
          <w:rStyle w:val="Znakiprzypiswdolnych"/>
        </w:rPr>
        <w:footnoteRef/>
      </w:r>
      <w:r>
        <w:rPr>
          <w:sz w:val="16"/>
          <w:szCs w:val="16"/>
        </w:rPr>
        <w:t xml:space="preserve"> </w:t>
      </w:r>
      <w:r>
        <w:rPr>
          <w:sz w:val="16"/>
          <w:szCs w:val="16"/>
        </w:rPr>
        <w:t>https://esip.bazaazbestowa.gov.pl/</w:t>
      </w:r>
    </w:p>
  </w:footnote>
  <w:footnote w:id="10">
    <w:p>
      <w:pPr>
        <w:pStyle w:val="Przypisdolny"/>
        <w:rPr/>
      </w:pPr>
      <w:r>
        <w:rPr>
          <w:rStyle w:val="Znakiprzypiswdolnych"/>
        </w:rPr>
        <w:footnoteRef/>
      </w:r>
      <w:r>
        <w:rPr>
          <w:sz w:val="16"/>
          <w:szCs w:val="16"/>
        </w:rPr>
        <w:t xml:space="preserve"> </w:t>
      </w:r>
      <w:r>
        <w:rPr>
          <w:sz w:val="16"/>
          <w:szCs w:val="16"/>
        </w:rPr>
        <w:t>źródło: GeoAzbest, https://esip.bazaazbestowa.gov.pl/</w:t>
      </w:r>
    </w:p>
  </w:footnote>
  <w:footnote w:id="11">
    <w:p>
      <w:pPr>
        <w:pStyle w:val="Przypisdolny"/>
        <w:rPr/>
      </w:pPr>
      <w:r>
        <w:rPr>
          <w:rStyle w:val="Znakiprzypiswdolnych"/>
        </w:rPr>
        <w:footnoteRef/>
      </w:r>
      <w:r>
        <w:rPr/>
        <w:t xml:space="preserve"> </w:t>
      </w:r>
      <w:r>
        <w:rPr/>
        <w:t>Opracowano na podstawie danych z Bazy Azbestowej ( www.bazaazbestowa.gov.pl)</w:t>
      </w:r>
    </w:p>
  </w:footnote>
  <w:footnote w:id="12">
    <w:p>
      <w:pPr>
        <w:pStyle w:val="Przypisdolny"/>
        <w:rPr/>
      </w:pPr>
      <w:r>
        <w:rPr>
          <w:rStyle w:val="Znakiprzypiswdolnych"/>
        </w:rPr>
        <w:footnoteRef/>
      </w:r>
      <w:r>
        <w:rPr>
          <w:sz w:val="18"/>
          <w:szCs w:val="18"/>
        </w:rPr>
        <w:t xml:space="preserve"> </w:t>
      </w:r>
      <w:r>
        <w:rPr>
          <w:sz w:val="18"/>
          <w:szCs w:val="18"/>
        </w:rPr>
        <w:t>Przyjęto przelicznik: 1 m2 wyrobów w postaci płyt cementowo-azbestowych falistych i płaskich waży 15 kg.</w:t>
      </w:r>
    </w:p>
  </w:footnote>
</w:footnote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Gwka"/>
      <w:jc w:val="center"/>
      <w:rPr/>
    </w:pPr>
    <w:r>
      <w:rPr>
        <w:rFonts w:cs="Arial" w:ascii="Arial" w:hAnsi="Arial"/>
        <w:b/>
        <w:sz w:val="18"/>
        <w:szCs w:val="18"/>
      </w:rPr>
      <w:t>Program usuwania azbestu dla Miasta i Gminy Mrocza</w:t>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Gwka"/>
      <w:jc w:val="center"/>
      <w:rPr/>
    </w:pPr>
    <w:r>
      <w:rPr>
        <w:rFonts w:cs="Arial" w:ascii="Arial" w:hAnsi="Arial"/>
        <w:b/>
        <w:sz w:val="18"/>
        <w:szCs w:val="18"/>
      </w:rPr>
      <w:t>Program usuwania azbestu dla Miasta i Gminy Mrocza</w:t>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Gwka"/>
      <w:pBdr>
        <w:bottom w:val="single" w:sz="6" w:space="1" w:color="0070C0"/>
      </w:pBdr>
      <w:jc w:val="center"/>
      <w:rPr/>
    </w:pPr>
    <w:r>
      <w:rPr/>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Gwka"/>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decimal"/>
      <w:lvlText w:val="%1."/>
      <w:lvlJc w:val="left"/>
      <w:pPr>
        <w:ind w:left="360" w:hanging="360"/>
      </w:pPr>
    </w:lvl>
    <w:lvl w:ilvl="1">
      <w:start w:val="1"/>
      <w:numFmt w:val="decimal"/>
      <w:lvlText w:val="%1.%2."/>
      <w:lvlJc w:val="left"/>
      <w:pPr>
        <w:ind w:left="574" w:hanging="432"/>
      </w:pPr>
      <w:rPr>
        <w:sz w:val="24"/>
        <w:b/>
        <w:rFonts w:ascii="Arial" w:hAnsi="Arial"/>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lvl w:ilvl="0">
      <w:start w:val="1"/>
      <w:numFmt w:val="decimal"/>
      <w:lvlText w:val="%1."/>
      <w:lvlJc w:val="left"/>
      <w:pPr>
        <w:ind w:left="360" w:hanging="360"/>
      </w:pPr>
      <w:rPr>
        <w:sz w:val="24"/>
        <w:b/>
        <w:rFonts w:ascii="Arial" w:hAnsi="Arial"/>
      </w:rPr>
    </w:lvl>
    <w:lvl w:ilvl="1">
      <w:start w:val="1"/>
      <w:numFmt w:val="decimal"/>
      <w:lvlText w:val="%1.%2."/>
      <w:lvlJc w:val="left"/>
      <w:pPr>
        <w:ind w:left="792" w:hanging="432"/>
      </w:pPr>
      <w:rPr>
        <w:sz w:val="24"/>
        <w:b/>
        <w:rFonts w:ascii="Arial" w:hAnsi="Arial"/>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i/>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lvl w:ilvl="0">
      <w:start w:val="1"/>
      <w:numFmt w:val="decimal"/>
      <w:lvlText w:val="%1."/>
      <w:lvlJc w:val="left"/>
      <w:pPr>
        <w:ind w:left="360" w:hanging="360"/>
      </w:pPr>
      <w:rPr>
        <w:sz w:val="22"/>
        <w:b/>
        <w:rFonts w:ascii="Arial" w:hAnsi="Arial"/>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lvl w:ilvl="0">
      <w:start w:val="1"/>
      <w:numFmt w:val="decimal"/>
      <w:lvlText w:val="%1."/>
      <w:lvlJc w:val="left"/>
      <w:pPr>
        <w:ind w:left="360" w:hanging="360"/>
      </w:pPr>
      <w:rPr>
        <w:b/>
        <w:rFonts w:ascii="Arial" w:hAnsi="Arial"/>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lvl w:ilvl="0">
      <w:start w:val="1"/>
      <w:numFmt w:val="bullet"/>
      <w:lvlText w:val=""/>
      <w:lvlJc w:val="left"/>
      <w:pPr>
        <w:ind w:left="720" w:hanging="360"/>
      </w:pPr>
      <w:rPr>
        <w:rFonts w:ascii="Symbol" w:hAnsi="Symbol" w:cs="Symbol" w:hint="default"/>
        <w:rFonts w:cs="Symbol"/>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8">
    <w:lvl w:ilvl="0">
      <w:start w:val="1"/>
      <w:numFmt w:val="bullet"/>
      <w:lvlText w:val=""/>
      <w:lvlJc w:val="left"/>
      <w:pPr>
        <w:tabs>
          <w:tab w:val="num" w:pos="720"/>
        </w:tabs>
        <w:ind w:left="720" w:hanging="360"/>
      </w:pPr>
      <w:rPr>
        <w:rFonts w:ascii="Symbol" w:hAnsi="Symbol" w:cs="Symbol" w:hint="default"/>
        <w:rFonts w:cs="Symbol"/>
      </w:rPr>
    </w:lvl>
    <w:lvl w:ilvl="1">
      <w:start w:val="1"/>
      <w:numFmt w:val="bullet"/>
      <w:lvlText w:val="o"/>
      <w:lvlJc w:val="left"/>
      <w:pPr>
        <w:tabs>
          <w:tab w:val="num" w:pos="1440"/>
        </w:tabs>
        <w:ind w:left="1440" w:hanging="360"/>
      </w:pPr>
      <w:rPr>
        <w:rFonts w:ascii="Courier New" w:hAnsi="Courier New" w:cs="Courier New" w:hint="default"/>
        <w:rFonts w:cs="Courier New"/>
      </w:rPr>
    </w:lvl>
    <w:lvl w:ilvl="2">
      <w:start w:val="1"/>
      <w:numFmt w:val="bullet"/>
      <w:lvlText w:val=""/>
      <w:lvlJc w:val="left"/>
      <w:pPr>
        <w:tabs>
          <w:tab w:val="num" w:pos="2160"/>
        </w:tabs>
        <w:ind w:left="2160" w:hanging="360"/>
      </w:pPr>
      <w:rPr>
        <w:rFonts w:ascii="Wingdings" w:hAnsi="Wingdings" w:cs="Wingdings" w:hint="default"/>
        <w:rFonts w:cs="Wingdings"/>
      </w:rPr>
    </w:lvl>
    <w:lvl w:ilvl="3">
      <w:start w:val="1"/>
      <w:numFmt w:val="bullet"/>
      <w:lvlText w:val=""/>
      <w:lvlJc w:val="left"/>
      <w:pPr>
        <w:tabs>
          <w:tab w:val="num" w:pos="2880"/>
        </w:tabs>
        <w:ind w:left="2880" w:hanging="360"/>
      </w:pPr>
      <w:rPr>
        <w:rFonts w:ascii="Symbol" w:hAnsi="Symbol" w:cs="Symbol" w:hint="default"/>
        <w:rFonts w:cs="Symbol"/>
      </w:rPr>
    </w:lvl>
    <w:lvl w:ilvl="4">
      <w:start w:val="1"/>
      <w:numFmt w:val="bullet"/>
      <w:lvlText w:val="o"/>
      <w:lvlJc w:val="left"/>
      <w:pPr>
        <w:tabs>
          <w:tab w:val="num" w:pos="3600"/>
        </w:tabs>
        <w:ind w:left="3600" w:hanging="360"/>
      </w:pPr>
      <w:rPr>
        <w:rFonts w:ascii="Courier New" w:hAnsi="Courier New" w:cs="Courier New" w:hint="default"/>
        <w:rFonts w:cs="Courier New"/>
      </w:rPr>
    </w:lvl>
    <w:lvl w:ilvl="5">
      <w:start w:val="1"/>
      <w:numFmt w:val="bullet"/>
      <w:lvlText w:val=""/>
      <w:lvlJc w:val="left"/>
      <w:pPr>
        <w:tabs>
          <w:tab w:val="num" w:pos="4320"/>
        </w:tabs>
        <w:ind w:left="4320" w:hanging="360"/>
      </w:pPr>
      <w:rPr>
        <w:rFonts w:ascii="Wingdings" w:hAnsi="Wingdings" w:cs="Wingdings" w:hint="default"/>
        <w:rFonts w:cs="Wingdings"/>
      </w:rPr>
    </w:lvl>
    <w:lvl w:ilvl="6">
      <w:start w:val="1"/>
      <w:numFmt w:val="bullet"/>
      <w:lvlText w:val=""/>
      <w:lvlJc w:val="left"/>
      <w:pPr>
        <w:tabs>
          <w:tab w:val="num" w:pos="5040"/>
        </w:tabs>
        <w:ind w:left="5040" w:hanging="360"/>
      </w:pPr>
      <w:rPr>
        <w:rFonts w:ascii="Symbol" w:hAnsi="Symbol" w:cs="Symbol" w:hint="default"/>
        <w:rFonts w:cs="Symbol"/>
      </w:rPr>
    </w:lvl>
    <w:lvl w:ilvl="7">
      <w:start w:val="1"/>
      <w:numFmt w:val="bullet"/>
      <w:lvlText w:val="o"/>
      <w:lvlJc w:val="left"/>
      <w:pPr>
        <w:tabs>
          <w:tab w:val="num" w:pos="5760"/>
        </w:tabs>
        <w:ind w:left="5760" w:hanging="360"/>
      </w:pPr>
      <w:rPr>
        <w:rFonts w:ascii="Courier New" w:hAnsi="Courier New" w:cs="Courier New" w:hint="default"/>
        <w:rFonts w:cs="Courier New"/>
      </w:rPr>
    </w:lvl>
    <w:lvl w:ilvl="8">
      <w:start w:val="1"/>
      <w:numFmt w:val="bullet"/>
      <w:lvlText w:val=""/>
      <w:lvlJc w:val="left"/>
      <w:pPr>
        <w:tabs>
          <w:tab w:val="num" w:pos="6480"/>
        </w:tabs>
        <w:ind w:left="6480" w:hanging="360"/>
      </w:pPr>
      <w:rPr>
        <w:rFonts w:ascii="Wingdings" w:hAnsi="Wingdings" w:cs="Wingdings" w:hint="default"/>
        <w:rFonts w:cs="Wingdings"/>
      </w:rPr>
    </w:lvl>
  </w:abstractNum>
  <w:abstractNum w:abstractNumId="9">
    <w:lvl w:ilvl="0">
      <w:start w:val="1"/>
      <w:numFmt w:val="bullet"/>
      <w:lvlText w:val=""/>
      <w:lvlJc w:val="left"/>
      <w:pPr>
        <w:tabs>
          <w:tab w:val="num" w:pos="720"/>
        </w:tabs>
        <w:ind w:left="720" w:hanging="360"/>
      </w:pPr>
      <w:rPr>
        <w:rFonts w:ascii="Symbol" w:hAnsi="Symbol" w:cs="Symbol" w:hint="default"/>
        <w:rFonts w:cs="Symbol"/>
      </w:rPr>
    </w:lvl>
    <w:lvl w:ilvl="1">
      <w:start w:val="1"/>
      <w:numFmt w:val="bullet"/>
      <w:lvlText w:val="o"/>
      <w:lvlJc w:val="left"/>
      <w:pPr>
        <w:tabs>
          <w:tab w:val="num" w:pos="1440"/>
        </w:tabs>
        <w:ind w:left="1440" w:hanging="360"/>
      </w:pPr>
      <w:rPr>
        <w:rFonts w:ascii="Courier New" w:hAnsi="Courier New" w:cs="Courier New" w:hint="default"/>
        <w:rFonts w:cs="Courier New"/>
      </w:rPr>
    </w:lvl>
    <w:lvl w:ilvl="2">
      <w:start w:val="1"/>
      <w:numFmt w:val="bullet"/>
      <w:lvlText w:val=""/>
      <w:lvlJc w:val="left"/>
      <w:pPr>
        <w:tabs>
          <w:tab w:val="num" w:pos="2160"/>
        </w:tabs>
        <w:ind w:left="2160" w:hanging="360"/>
      </w:pPr>
      <w:rPr>
        <w:rFonts w:ascii="Wingdings" w:hAnsi="Wingdings" w:cs="Wingdings" w:hint="default"/>
        <w:rFonts w:cs="Wingdings"/>
      </w:rPr>
    </w:lvl>
    <w:lvl w:ilvl="3">
      <w:start w:val="1"/>
      <w:numFmt w:val="bullet"/>
      <w:lvlText w:val=""/>
      <w:lvlJc w:val="left"/>
      <w:pPr>
        <w:tabs>
          <w:tab w:val="num" w:pos="2880"/>
        </w:tabs>
        <w:ind w:left="2880" w:hanging="360"/>
      </w:pPr>
      <w:rPr>
        <w:rFonts w:ascii="Symbol" w:hAnsi="Symbol" w:cs="Symbol" w:hint="default"/>
        <w:rFonts w:cs="Symbol"/>
      </w:rPr>
    </w:lvl>
    <w:lvl w:ilvl="4">
      <w:start w:val="1"/>
      <w:numFmt w:val="bullet"/>
      <w:lvlText w:val="o"/>
      <w:lvlJc w:val="left"/>
      <w:pPr>
        <w:tabs>
          <w:tab w:val="num" w:pos="3600"/>
        </w:tabs>
        <w:ind w:left="3600" w:hanging="360"/>
      </w:pPr>
      <w:rPr>
        <w:rFonts w:ascii="Courier New" w:hAnsi="Courier New" w:cs="Courier New" w:hint="default"/>
        <w:rFonts w:cs="Courier New"/>
      </w:rPr>
    </w:lvl>
    <w:lvl w:ilvl="5">
      <w:start w:val="1"/>
      <w:numFmt w:val="bullet"/>
      <w:lvlText w:val=""/>
      <w:lvlJc w:val="left"/>
      <w:pPr>
        <w:tabs>
          <w:tab w:val="num" w:pos="4320"/>
        </w:tabs>
        <w:ind w:left="4320" w:hanging="360"/>
      </w:pPr>
      <w:rPr>
        <w:rFonts w:ascii="Wingdings" w:hAnsi="Wingdings" w:cs="Wingdings" w:hint="default"/>
        <w:rFonts w:cs="Wingdings"/>
      </w:rPr>
    </w:lvl>
    <w:lvl w:ilvl="6">
      <w:start w:val="1"/>
      <w:numFmt w:val="bullet"/>
      <w:lvlText w:val=""/>
      <w:lvlJc w:val="left"/>
      <w:pPr>
        <w:tabs>
          <w:tab w:val="num" w:pos="5040"/>
        </w:tabs>
        <w:ind w:left="5040" w:hanging="360"/>
      </w:pPr>
      <w:rPr>
        <w:rFonts w:ascii="Symbol" w:hAnsi="Symbol" w:cs="Symbol" w:hint="default"/>
        <w:rFonts w:cs="Symbol"/>
      </w:rPr>
    </w:lvl>
    <w:lvl w:ilvl="7">
      <w:start w:val="1"/>
      <w:numFmt w:val="bullet"/>
      <w:lvlText w:val="o"/>
      <w:lvlJc w:val="left"/>
      <w:pPr>
        <w:tabs>
          <w:tab w:val="num" w:pos="5760"/>
        </w:tabs>
        <w:ind w:left="5760" w:hanging="360"/>
      </w:pPr>
      <w:rPr>
        <w:rFonts w:ascii="Courier New" w:hAnsi="Courier New" w:cs="Courier New" w:hint="default"/>
        <w:rFonts w:cs="Courier New"/>
      </w:rPr>
    </w:lvl>
    <w:lvl w:ilvl="8">
      <w:start w:val="1"/>
      <w:numFmt w:val="bullet"/>
      <w:lvlText w:val=""/>
      <w:lvlJc w:val="left"/>
      <w:pPr>
        <w:tabs>
          <w:tab w:val="num" w:pos="6480"/>
        </w:tabs>
        <w:ind w:left="6480" w:hanging="360"/>
      </w:pPr>
      <w:rPr>
        <w:rFonts w:ascii="Wingdings" w:hAnsi="Wingdings" w:cs="Wingdings" w:hint="default"/>
        <w:rFonts w:cs="Wingdings"/>
      </w:rPr>
    </w:lvl>
  </w:abstractNum>
  <w:abstractNum w:abstractNumId="10">
    <w:lvl w:ilvl="0">
      <w:start w:val="1"/>
      <w:numFmt w:val="bullet"/>
      <w:lvlText w:val=""/>
      <w:lvlJc w:val="left"/>
      <w:pPr>
        <w:tabs>
          <w:tab w:val="num" w:pos="720"/>
        </w:tabs>
        <w:ind w:left="720" w:hanging="360"/>
      </w:pPr>
      <w:rPr>
        <w:rFonts w:ascii="Symbol" w:hAnsi="Symbol" w:cs="Symbol" w:hint="default"/>
        <w:rFonts w:cs="Symbol"/>
      </w:rPr>
    </w:lvl>
    <w:lvl w:ilvl="1">
      <w:start w:val="6"/>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cs="Wingdings" w:hint="default"/>
        <w:rFonts w:cs="Wingdings"/>
      </w:rPr>
    </w:lvl>
    <w:lvl w:ilvl="3">
      <w:start w:val="1"/>
      <w:numFmt w:val="bullet"/>
      <w:lvlText w:val=""/>
      <w:lvlJc w:val="left"/>
      <w:pPr>
        <w:tabs>
          <w:tab w:val="num" w:pos="2880"/>
        </w:tabs>
        <w:ind w:left="2880" w:hanging="360"/>
      </w:pPr>
      <w:rPr>
        <w:rFonts w:ascii="Symbol" w:hAnsi="Symbol" w:cs="Symbol" w:hint="default"/>
        <w:rFonts w:cs="Symbol"/>
      </w:rPr>
    </w:lvl>
    <w:lvl w:ilvl="4">
      <w:start w:val="1"/>
      <w:numFmt w:val="bullet"/>
      <w:lvlText w:val="o"/>
      <w:lvlJc w:val="left"/>
      <w:pPr>
        <w:tabs>
          <w:tab w:val="num" w:pos="3600"/>
        </w:tabs>
        <w:ind w:left="3600" w:hanging="360"/>
      </w:pPr>
      <w:rPr>
        <w:rFonts w:ascii="Courier New" w:hAnsi="Courier New" w:cs="Courier New" w:hint="default"/>
        <w:rFonts w:cs="Courier New"/>
      </w:rPr>
    </w:lvl>
    <w:lvl w:ilvl="5">
      <w:start w:val="1"/>
      <w:numFmt w:val="bullet"/>
      <w:lvlText w:val=""/>
      <w:lvlJc w:val="left"/>
      <w:pPr>
        <w:tabs>
          <w:tab w:val="num" w:pos="4320"/>
        </w:tabs>
        <w:ind w:left="4320" w:hanging="360"/>
      </w:pPr>
      <w:rPr>
        <w:rFonts w:ascii="Wingdings" w:hAnsi="Wingdings" w:cs="Wingdings" w:hint="default"/>
        <w:rFonts w:cs="Wingdings"/>
      </w:rPr>
    </w:lvl>
    <w:lvl w:ilvl="6">
      <w:start w:val="1"/>
      <w:numFmt w:val="bullet"/>
      <w:lvlText w:val=""/>
      <w:lvlJc w:val="left"/>
      <w:pPr>
        <w:tabs>
          <w:tab w:val="num" w:pos="5040"/>
        </w:tabs>
        <w:ind w:left="5040" w:hanging="360"/>
      </w:pPr>
      <w:rPr>
        <w:rFonts w:ascii="Symbol" w:hAnsi="Symbol" w:cs="Symbol" w:hint="default"/>
        <w:rFonts w:cs="Symbol"/>
      </w:rPr>
    </w:lvl>
    <w:lvl w:ilvl="7">
      <w:start w:val="1"/>
      <w:numFmt w:val="bullet"/>
      <w:lvlText w:val="o"/>
      <w:lvlJc w:val="left"/>
      <w:pPr>
        <w:tabs>
          <w:tab w:val="num" w:pos="5760"/>
        </w:tabs>
        <w:ind w:left="5760" w:hanging="360"/>
      </w:pPr>
      <w:rPr>
        <w:rFonts w:ascii="Courier New" w:hAnsi="Courier New" w:cs="Courier New" w:hint="default"/>
        <w:rFonts w:cs="Courier New"/>
      </w:rPr>
    </w:lvl>
    <w:lvl w:ilvl="8">
      <w:start w:val="1"/>
      <w:numFmt w:val="bullet"/>
      <w:lvlText w:val=""/>
      <w:lvlJc w:val="left"/>
      <w:pPr>
        <w:tabs>
          <w:tab w:val="num" w:pos="6480"/>
        </w:tabs>
        <w:ind w:left="6480" w:hanging="360"/>
      </w:pPr>
      <w:rPr>
        <w:rFonts w:ascii="Wingdings" w:hAnsi="Wingdings" w:cs="Wingdings" w:hint="default"/>
        <w:rFonts w:cs="Wingdings"/>
      </w:rPr>
    </w:lvl>
  </w:abstractNum>
  <w:abstractNum w:abstractNumId="11">
    <w:lvl w:ilvl="0">
      <w:start w:val="1"/>
      <w:numFmt w:val="bullet"/>
      <w:lvlText w:val=""/>
      <w:lvlJc w:val="left"/>
      <w:pPr>
        <w:tabs>
          <w:tab w:val="num" w:pos="720"/>
        </w:tabs>
        <w:ind w:left="720" w:hanging="360"/>
      </w:pPr>
      <w:rPr>
        <w:rFonts w:ascii="Symbol" w:hAnsi="Symbol" w:cs="Symbol" w:hint="default"/>
        <w:rFonts w:cs="Symbol"/>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cs="Wingdings" w:hint="default"/>
        <w:rFonts w:cs="Wingdings"/>
      </w:rPr>
    </w:lvl>
    <w:lvl w:ilvl="3">
      <w:start w:val="1"/>
      <w:numFmt w:val="bullet"/>
      <w:lvlText w:val=""/>
      <w:lvlJc w:val="left"/>
      <w:pPr>
        <w:tabs>
          <w:tab w:val="num" w:pos="2880"/>
        </w:tabs>
        <w:ind w:left="2880" w:hanging="360"/>
      </w:pPr>
      <w:rPr>
        <w:rFonts w:ascii="Symbol" w:hAnsi="Symbol" w:cs="Symbol" w:hint="default"/>
        <w:rFonts w:cs="Symbol"/>
      </w:rPr>
    </w:lvl>
    <w:lvl w:ilvl="4">
      <w:start w:val="1"/>
      <w:numFmt w:val="bullet"/>
      <w:lvlText w:val="o"/>
      <w:lvlJc w:val="left"/>
      <w:pPr>
        <w:tabs>
          <w:tab w:val="num" w:pos="3600"/>
        </w:tabs>
        <w:ind w:left="3600" w:hanging="360"/>
      </w:pPr>
      <w:rPr>
        <w:rFonts w:ascii="Courier New" w:hAnsi="Courier New" w:cs="Courier New" w:hint="default"/>
        <w:rFonts w:cs="Courier New"/>
      </w:rPr>
    </w:lvl>
    <w:lvl w:ilvl="5">
      <w:start w:val="1"/>
      <w:numFmt w:val="bullet"/>
      <w:lvlText w:val=""/>
      <w:lvlJc w:val="left"/>
      <w:pPr>
        <w:tabs>
          <w:tab w:val="num" w:pos="4320"/>
        </w:tabs>
        <w:ind w:left="4320" w:hanging="360"/>
      </w:pPr>
      <w:rPr>
        <w:rFonts w:ascii="Wingdings" w:hAnsi="Wingdings" w:cs="Wingdings" w:hint="default"/>
        <w:rFonts w:cs="Wingdings"/>
      </w:rPr>
    </w:lvl>
    <w:lvl w:ilvl="6">
      <w:start w:val="1"/>
      <w:numFmt w:val="bullet"/>
      <w:lvlText w:val=""/>
      <w:lvlJc w:val="left"/>
      <w:pPr>
        <w:tabs>
          <w:tab w:val="num" w:pos="5040"/>
        </w:tabs>
        <w:ind w:left="5040" w:hanging="360"/>
      </w:pPr>
      <w:rPr>
        <w:rFonts w:ascii="Symbol" w:hAnsi="Symbol" w:cs="Symbol" w:hint="default"/>
        <w:rFonts w:cs="Symbol"/>
      </w:rPr>
    </w:lvl>
    <w:lvl w:ilvl="7">
      <w:start w:val="1"/>
      <w:numFmt w:val="bullet"/>
      <w:lvlText w:val="o"/>
      <w:lvlJc w:val="left"/>
      <w:pPr>
        <w:tabs>
          <w:tab w:val="num" w:pos="5760"/>
        </w:tabs>
        <w:ind w:left="5760" w:hanging="360"/>
      </w:pPr>
      <w:rPr>
        <w:rFonts w:ascii="Courier New" w:hAnsi="Courier New" w:cs="Courier New" w:hint="default"/>
        <w:rFonts w:cs="Courier New"/>
      </w:rPr>
    </w:lvl>
    <w:lvl w:ilvl="8">
      <w:start w:val="1"/>
      <w:numFmt w:val="bullet"/>
      <w:lvlText w:val=""/>
      <w:lvlJc w:val="left"/>
      <w:pPr>
        <w:tabs>
          <w:tab w:val="num" w:pos="6480"/>
        </w:tabs>
        <w:ind w:left="6480" w:hanging="360"/>
      </w:pPr>
      <w:rPr>
        <w:rFonts w:ascii="Wingdings" w:hAnsi="Wingdings" w:cs="Wingdings" w:hint="default"/>
        <w:rFonts w:cs="Wingdings"/>
      </w:rPr>
    </w:lvl>
  </w:abstractNum>
  <w:abstractNum w:abstractNumId="12">
    <w:lvl w:ilvl="0">
      <w:start w:val="1"/>
      <w:numFmt w:val="bullet"/>
      <w:lvlText w:val=""/>
      <w:lvlJc w:val="left"/>
      <w:pPr>
        <w:tabs>
          <w:tab w:val="num" w:pos="720"/>
        </w:tabs>
        <w:ind w:left="720" w:hanging="360"/>
      </w:pPr>
      <w:rPr>
        <w:rFonts w:ascii="Symbol" w:hAnsi="Symbol" w:cs="Symbol" w:hint="default"/>
        <w:rFonts w:cs="Symbol"/>
      </w:rPr>
    </w:lvl>
    <w:lvl w:ilvl="1">
      <w:start w:val="1"/>
      <w:numFmt w:val="bullet"/>
      <w:lvlText w:val="o"/>
      <w:lvlJc w:val="left"/>
      <w:pPr>
        <w:tabs>
          <w:tab w:val="num" w:pos="1440"/>
        </w:tabs>
        <w:ind w:left="1440" w:hanging="360"/>
      </w:pPr>
      <w:rPr>
        <w:rFonts w:ascii="Courier New" w:hAnsi="Courier New" w:cs="Courier New" w:hint="default"/>
        <w:rFonts w:cs="Courier New"/>
      </w:rPr>
    </w:lvl>
    <w:lvl w:ilvl="2">
      <w:start w:val="1"/>
      <w:numFmt w:val="bullet"/>
      <w:lvlText w:val=""/>
      <w:lvlJc w:val="left"/>
      <w:pPr>
        <w:tabs>
          <w:tab w:val="num" w:pos="2160"/>
        </w:tabs>
        <w:ind w:left="2160" w:hanging="360"/>
      </w:pPr>
      <w:rPr>
        <w:rFonts w:ascii="Wingdings" w:hAnsi="Wingdings" w:cs="Wingdings" w:hint="default"/>
        <w:rFonts w:cs="Wingdings"/>
      </w:rPr>
    </w:lvl>
    <w:lvl w:ilvl="3">
      <w:start w:val="1"/>
      <w:numFmt w:val="bullet"/>
      <w:lvlText w:val=""/>
      <w:lvlJc w:val="left"/>
      <w:pPr>
        <w:tabs>
          <w:tab w:val="num" w:pos="2880"/>
        </w:tabs>
        <w:ind w:left="2880" w:hanging="360"/>
      </w:pPr>
      <w:rPr>
        <w:rFonts w:ascii="Symbol" w:hAnsi="Symbol" w:cs="Symbol" w:hint="default"/>
        <w:rFonts w:cs="Symbol"/>
      </w:rPr>
    </w:lvl>
    <w:lvl w:ilvl="4">
      <w:start w:val="1"/>
      <w:numFmt w:val="bullet"/>
      <w:lvlText w:val="o"/>
      <w:lvlJc w:val="left"/>
      <w:pPr>
        <w:tabs>
          <w:tab w:val="num" w:pos="3600"/>
        </w:tabs>
        <w:ind w:left="3600" w:hanging="360"/>
      </w:pPr>
      <w:rPr>
        <w:rFonts w:ascii="Courier New" w:hAnsi="Courier New" w:cs="Courier New" w:hint="default"/>
        <w:rFonts w:cs="Courier New"/>
      </w:rPr>
    </w:lvl>
    <w:lvl w:ilvl="5">
      <w:start w:val="1"/>
      <w:numFmt w:val="bullet"/>
      <w:lvlText w:val=""/>
      <w:lvlJc w:val="left"/>
      <w:pPr>
        <w:tabs>
          <w:tab w:val="num" w:pos="4320"/>
        </w:tabs>
        <w:ind w:left="4320" w:hanging="360"/>
      </w:pPr>
      <w:rPr>
        <w:rFonts w:ascii="Wingdings" w:hAnsi="Wingdings" w:cs="Wingdings" w:hint="default"/>
        <w:rFonts w:cs="Wingdings"/>
      </w:rPr>
    </w:lvl>
    <w:lvl w:ilvl="6">
      <w:start w:val="1"/>
      <w:numFmt w:val="bullet"/>
      <w:lvlText w:val=""/>
      <w:lvlJc w:val="left"/>
      <w:pPr>
        <w:tabs>
          <w:tab w:val="num" w:pos="5040"/>
        </w:tabs>
        <w:ind w:left="5040" w:hanging="360"/>
      </w:pPr>
      <w:rPr>
        <w:rFonts w:ascii="Symbol" w:hAnsi="Symbol" w:cs="Symbol" w:hint="default"/>
        <w:rFonts w:cs="Symbol"/>
      </w:rPr>
    </w:lvl>
    <w:lvl w:ilvl="7">
      <w:start w:val="1"/>
      <w:numFmt w:val="bullet"/>
      <w:lvlText w:val="o"/>
      <w:lvlJc w:val="left"/>
      <w:pPr>
        <w:tabs>
          <w:tab w:val="num" w:pos="5760"/>
        </w:tabs>
        <w:ind w:left="5760" w:hanging="360"/>
      </w:pPr>
      <w:rPr>
        <w:rFonts w:ascii="Courier New" w:hAnsi="Courier New" w:cs="Courier New" w:hint="default"/>
        <w:rFonts w:cs="Courier New"/>
      </w:rPr>
    </w:lvl>
    <w:lvl w:ilvl="8">
      <w:start w:val="1"/>
      <w:numFmt w:val="bullet"/>
      <w:lvlText w:val=""/>
      <w:lvlJc w:val="left"/>
      <w:pPr>
        <w:tabs>
          <w:tab w:val="num" w:pos="6480"/>
        </w:tabs>
        <w:ind w:left="6480" w:hanging="360"/>
      </w:pPr>
      <w:rPr>
        <w:rFonts w:ascii="Wingdings" w:hAnsi="Wingdings" w:cs="Wingdings" w:hint="default"/>
        <w:rFonts w:cs="Wingdings"/>
      </w:rPr>
    </w:lvl>
  </w:abstractNum>
  <w:abstractNum w:abstractNumId="13">
    <w:lvl w:ilvl="0">
      <w:start w:val="1"/>
      <w:numFmt w:val="bullet"/>
      <w:lvlText w:val=""/>
      <w:lvlJc w:val="left"/>
      <w:pPr>
        <w:tabs>
          <w:tab w:val="num" w:pos="720"/>
        </w:tabs>
        <w:ind w:left="720" w:hanging="360"/>
      </w:pPr>
      <w:rPr>
        <w:rFonts w:ascii="Symbol" w:hAnsi="Symbol" w:cs="Symbol" w:hint="default"/>
        <w:rFonts w:cs="Symbol"/>
      </w:rPr>
    </w:lvl>
    <w:lvl w:ilvl="1">
      <w:start w:val="1"/>
      <w:numFmt w:val="bullet"/>
      <w:lvlText w:val="o"/>
      <w:lvlJc w:val="left"/>
      <w:pPr>
        <w:tabs>
          <w:tab w:val="num" w:pos="1440"/>
        </w:tabs>
        <w:ind w:left="1440" w:hanging="360"/>
      </w:pPr>
      <w:rPr>
        <w:rFonts w:ascii="Courier New" w:hAnsi="Courier New" w:cs="Courier New" w:hint="default"/>
        <w:rFonts w:cs="Courier New"/>
      </w:rPr>
    </w:lvl>
    <w:lvl w:ilvl="2">
      <w:start w:val="1"/>
      <w:numFmt w:val="bullet"/>
      <w:lvlText w:val=""/>
      <w:lvlJc w:val="left"/>
      <w:pPr>
        <w:tabs>
          <w:tab w:val="num" w:pos="2160"/>
        </w:tabs>
        <w:ind w:left="2160" w:hanging="360"/>
      </w:pPr>
      <w:rPr>
        <w:rFonts w:ascii="Wingdings" w:hAnsi="Wingdings" w:cs="Wingdings" w:hint="default"/>
        <w:rFonts w:cs="Wingdings"/>
      </w:rPr>
    </w:lvl>
    <w:lvl w:ilvl="3">
      <w:start w:val="1"/>
      <w:numFmt w:val="bullet"/>
      <w:lvlText w:val=""/>
      <w:lvlJc w:val="left"/>
      <w:pPr>
        <w:tabs>
          <w:tab w:val="num" w:pos="2880"/>
        </w:tabs>
        <w:ind w:left="2880" w:hanging="360"/>
      </w:pPr>
      <w:rPr>
        <w:rFonts w:ascii="Symbol" w:hAnsi="Symbol" w:cs="Symbol" w:hint="default"/>
        <w:rFonts w:cs="Symbol"/>
      </w:rPr>
    </w:lvl>
    <w:lvl w:ilvl="4">
      <w:start w:val="1"/>
      <w:numFmt w:val="bullet"/>
      <w:lvlText w:val="o"/>
      <w:lvlJc w:val="left"/>
      <w:pPr>
        <w:tabs>
          <w:tab w:val="num" w:pos="3600"/>
        </w:tabs>
        <w:ind w:left="3600" w:hanging="360"/>
      </w:pPr>
      <w:rPr>
        <w:rFonts w:ascii="Courier New" w:hAnsi="Courier New" w:cs="Courier New" w:hint="default"/>
        <w:rFonts w:cs="Courier New"/>
      </w:rPr>
    </w:lvl>
    <w:lvl w:ilvl="5">
      <w:start w:val="1"/>
      <w:numFmt w:val="bullet"/>
      <w:lvlText w:val=""/>
      <w:lvlJc w:val="left"/>
      <w:pPr>
        <w:tabs>
          <w:tab w:val="num" w:pos="4320"/>
        </w:tabs>
        <w:ind w:left="4320" w:hanging="360"/>
      </w:pPr>
      <w:rPr>
        <w:rFonts w:ascii="Wingdings" w:hAnsi="Wingdings" w:cs="Wingdings" w:hint="default"/>
        <w:rFonts w:cs="Wingdings"/>
      </w:rPr>
    </w:lvl>
    <w:lvl w:ilvl="6">
      <w:start w:val="1"/>
      <w:numFmt w:val="bullet"/>
      <w:lvlText w:val=""/>
      <w:lvlJc w:val="left"/>
      <w:pPr>
        <w:tabs>
          <w:tab w:val="num" w:pos="5040"/>
        </w:tabs>
        <w:ind w:left="5040" w:hanging="360"/>
      </w:pPr>
      <w:rPr>
        <w:rFonts w:ascii="Symbol" w:hAnsi="Symbol" w:cs="Symbol" w:hint="default"/>
        <w:rFonts w:cs="Symbol"/>
      </w:rPr>
    </w:lvl>
    <w:lvl w:ilvl="7">
      <w:start w:val="1"/>
      <w:numFmt w:val="bullet"/>
      <w:lvlText w:val="o"/>
      <w:lvlJc w:val="left"/>
      <w:pPr>
        <w:tabs>
          <w:tab w:val="num" w:pos="5760"/>
        </w:tabs>
        <w:ind w:left="5760" w:hanging="360"/>
      </w:pPr>
      <w:rPr>
        <w:rFonts w:ascii="Courier New" w:hAnsi="Courier New" w:cs="Courier New" w:hint="default"/>
        <w:rFonts w:cs="Courier New"/>
      </w:rPr>
    </w:lvl>
    <w:lvl w:ilvl="8">
      <w:start w:val="1"/>
      <w:numFmt w:val="bullet"/>
      <w:lvlText w:val=""/>
      <w:lvlJc w:val="left"/>
      <w:pPr>
        <w:tabs>
          <w:tab w:val="num" w:pos="6480"/>
        </w:tabs>
        <w:ind w:left="6480" w:hanging="360"/>
      </w:pPr>
      <w:rPr>
        <w:rFonts w:ascii="Wingdings" w:hAnsi="Wingdings" w:cs="Wingdings" w:hint="default"/>
        <w:rFonts w:cs="Wingdings"/>
      </w:rPr>
    </w:lvl>
  </w:abstractNum>
  <w:abstractNum w:abstractNumId="14">
    <w:lvl w:ilvl="0">
      <w:start w:val="1"/>
      <w:numFmt w:val="bullet"/>
      <w:lvlText w:val=""/>
      <w:lvlJc w:val="left"/>
      <w:pPr>
        <w:tabs>
          <w:tab w:val="num" w:pos="720"/>
        </w:tabs>
        <w:ind w:left="720" w:hanging="360"/>
      </w:pPr>
      <w:rPr>
        <w:rFonts w:ascii="Symbol" w:hAnsi="Symbol" w:cs="Symbol" w:hint="default"/>
        <w:rFonts w:cs="Symbol"/>
      </w:rPr>
    </w:lvl>
    <w:lvl w:ilvl="1">
      <w:start w:val="1"/>
      <w:numFmt w:val="bullet"/>
      <w:lvlText w:val="o"/>
      <w:lvlJc w:val="left"/>
      <w:pPr>
        <w:tabs>
          <w:tab w:val="num" w:pos="1440"/>
        </w:tabs>
        <w:ind w:left="1440" w:hanging="360"/>
      </w:pPr>
      <w:rPr>
        <w:rFonts w:ascii="Courier New" w:hAnsi="Courier New" w:cs="Courier New" w:hint="default"/>
        <w:rFonts w:cs="Courier New"/>
      </w:rPr>
    </w:lvl>
    <w:lvl w:ilvl="2">
      <w:start w:val="1"/>
      <w:numFmt w:val="bullet"/>
      <w:lvlText w:val=""/>
      <w:lvlJc w:val="left"/>
      <w:pPr>
        <w:tabs>
          <w:tab w:val="num" w:pos="2160"/>
        </w:tabs>
        <w:ind w:left="2160" w:hanging="360"/>
      </w:pPr>
      <w:rPr>
        <w:rFonts w:ascii="Wingdings" w:hAnsi="Wingdings" w:cs="Wingdings" w:hint="default"/>
        <w:rFonts w:cs="Wingdings"/>
      </w:rPr>
    </w:lvl>
    <w:lvl w:ilvl="3">
      <w:start w:val="1"/>
      <w:numFmt w:val="bullet"/>
      <w:lvlText w:val=""/>
      <w:lvlJc w:val="left"/>
      <w:pPr>
        <w:tabs>
          <w:tab w:val="num" w:pos="2880"/>
        </w:tabs>
        <w:ind w:left="2880" w:hanging="360"/>
      </w:pPr>
      <w:rPr>
        <w:rFonts w:ascii="Symbol" w:hAnsi="Symbol" w:cs="Symbol" w:hint="default"/>
        <w:rFonts w:cs="Symbol"/>
      </w:rPr>
    </w:lvl>
    <w:lvl w:ilvl="4">
      <w:start w:val="1"/>
      <w:numFmt w:val="bullet"/>
      <w:lvlText w:val="o"/>
      <w:lvlJc w:val="left"/>
      <w:pPr>
        <w:tabs>
          <w:tab w:val="num" w:pos="3600"/>
        </w:tabs>
        <w:ind w:left="3600" w:hanging="360"/>
      </w:pPr>
      <w:rPr>
        <w:rFonts w:ascii="Courier New" w:hAnsi="Courier New" w:cs="Courier New" w:hint="default"/>
        <w:rFonts w:cs="Courier New"/>
      </w:rPr>
    </w:lvl>
    <w:lvl w:ilvl="5">
      <w:start w:val="1"/>
      <w:numFmt w:val="bullet"/>
      <w:lvlText w:val=""/>
      <w:lvlJc w:val="left"/>
      <w:pPr>
        <w:tabs>
          <w:tab w:val="num" w:pos="4320"/>
        </w:tabs>
        <w:ind w:left="4320" w:hanging="360"/>
      </w:pPr>
      <w:rPr>
        <w:rFonts w:ascii="Wingdings" w:hAnsi="Wingdings" w:cs="Wingdings" w:hint="default"/>
        <w:rFonts w:cs="Wingdings"/>
      </w:rPr>
    </w:lvl>
    <w:lvl w:ilvl="6">
      <w:start w:val="1"/>
      <w:numFmt w:val="bullet"/>
      <w:lvlText w:val=""/>
      <w:lvlJc w:val="left"/>
      <w:pPr>
        <w:tabs>
          <w:tab w:val="num" w:pos="5040"/>
        </w:tabs>
        <w:ind w:left="5040" w:hanging="360"/>
      </w:pPr>
      <w:rPr>
        <w:rFonts w:ascii="Symbol" w:hAnsi="Symbol" w:cs="Symbol" w:hint="default"/>
        <w:rFonts w:cs="Symbol"/>
      </w:rPr>
    </w:lvl>
    <w:lvl w:ilvl="7">
      <w:start w:val="1"/>
      <w:numFmt w:val="bullet"/>
      <w:lvlText w:val="o"/>
      <w:lvlJc w:val="left"/>
      <w:pPr>
        <w:tabs>
          <w:tab w:val="num" w:pos="5760"/>
        </w:tabs>
        <w:ind w:left="5760" w:hanging="360"/>
      </w:pPr>
      <w:rPr>
        <w:rFonts w:ascii="Courier New" w:hAnsi="Courier New" w:cs="Courier New" w:hint="default"/>
        <w:rFonts w:cs="Courier New"/>
      </w:rPr>
    </w:lvl>
    <w:lvl w:ilvl="8">
      <w:start w:val="1"/>
      <w:numFmt w:val="bullet"/>
      <w:lvlText w:val=""/>
      <w:lvlJc w:val="left"/>
      <w:pPr>
        <w:tabs>
          <w:tab w:val="num" w:pos="6480"/>
        </w:tabs>
        <w:ind w:left="6480" w:hanging="360"/>
      </w:pPr>
      <w:rPr>
        <w:rFonts w:ascii="Wingdings" w:hAnsi="Wingdings" w:cs="Wingdings" w:hint="default"/>
        <w:rFonts w:cs="Wingdings"/>
      </w:rPr>
    </w:lvl>
  </w:abstractNum>
  <w:abstractNum w:abstractNumId="15">
    <w:lvl w:ilvl="0">
      <w:start w:val="1"/>
      <w:numFmt w:val="bullet"/>
      <w:lvlText w:val=""/>
      <w:lvlJc w:val="left"/>
      <w:pPr>
        <w:tabs>
          <w:tab w:val="num" w:pos="720"/>
        </w:tabs>
        <w:ind w:left="720" w:hanging="360"/>
      </w:pPr>
      <w:rPr>
        <w:rFonts w:ascii="Symbol" w:hAnsi="Symbol" w:cs="Symbol" w:hint="default"/>
        <w:rFonts w:cs="Symbol"/>
      </w:rPr>
    </w:lvl>
    <w:lvl w:ilvl="1">
      <w:start w:val="5"/>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cs="Wingdings" w:hint="default"/>
        <w:rFonts w:cs="Wingdings"/>
      </w:rPr>
    </w:lvl>
    <w:lvl w:ilvl="3">
      <w:start w:val="1"/>
      <w:numFmt w:val="bullet"/>
      <w:lvlText w:val=""/>
      <w:lvlJc w:val="left"/>
      <w:pPr>
        <w:tabs>
          <w:tab w:val="num" w:pos="2880"/>
        </w:tabs>
        <w:ind w:left="2880" w:hanging="360"/>
      </w:pPr>
      <w:rPr>
        <w:rFonts w:ascii="Symbol" w:hAnsi="Symbol" w:cs="Symbol" w:hint="default"/>
        <w:rFonts w:cs="Symbol"/>
      </w:rPr>
    </w:lvl>
    <w:lvl w:ilvl="4">
      <w:start w:val="1"/>
      <w:numFmt w:val="bullet"/>
      <w:lvlText w:val="o"/>
      <w:lvlJc w:val="left"/>
      <w:pPr>
        <w:tabs>
          <w:tab w:val="num" w:pos="3600"/>
        </w:tabs>
        <w:ind w:left="3600" w:hanging="360"/>
      </w:pPr>
      <w:rPr>
        <w:rFonts w:ascii="Courier New" w:hAnsi="Courier New" w:cs="Courier New" w:hint="default"/>
        <w:rFonts w:cs="Courier New"/>
      </w:rPr>
    </w:lvl>
    <w:lvl w:ilvl="5">
      <w:start w:val="1"/>
      <w:numFmt w:val="bullet"/>
      <w:lvlText w:val=""/>
      <w:lvlJc w:val="left"/>
      <w:pPr>
        <w:tabs>
          <w:tab w:val="num" w:pos="4320"/>
        </w:tabs>
        <w:ind w:left="4320" w:hanging="360"/>
      </w:pPr>
      <w:rPr>
        <w:rFonts w:ascii="Wingdings" w:hAnsi="Wingdings" w:cs="Wingdings" w:hint="default"/>
        <w:rFonts w:cs="Wingdings"/>
      </w:rPr>
    </w:lvl>
    <w:lvl w:ilvl="6">
      <w:start w:val="1"/>
      <w:numFmt w:val="bullet"/>
      <w:lvlText w:val=""/>
      <w:lvlJc w:val="left"/>
      <w:pPr>
        <w:tabs>
          <w:tab w:val="num" w:pos="5040"/>
        </w:tabs>
        <w:ind w:left="5040" w:hanging="360"/>
      </w:pPr>
      <w:rPr>
        <w:rFonts w:ascii="Symbol" w:hAnsi="Symbol" w:cs="Symbol" w:hint="default"/>
        <w:rFonts w:cs="Symbol"/>
      </w:rPr>
    </w:lvl>
    <w:lvl w:ilvl="7">
      <w:start w:val="1"/>
      <w:numFmt w:val="bullet"/>
      <w:lvlText w:val="o"/>
      <w:lvlJc w:val="left"/>
      <w:pPr>
        <w:tabs>
          <w:tab w:val="num" w:pos="5760"/>
        </w:tabs>
        <w:ind w:left="5760" w:hanging="360"/>
      </w:pPr>
      <w:rPr>
        <w:rFonts w:ascii="Courier New" w:hAnsi="Courier New" w:cs="Courier New" w:hint="default"/>
        <w:rFonts w:cs="Courier New"/>
      </w:rPr>
    </w:lvl>
    <w:lvl w:ilvl="8">
      <w:start w:val="1"/>
      <w:numFmt w:val="bullet"/>
      <w:lvlText w:val=""/>
      <w:lvlJc w:val="left"/>
      <w:pPr>
        <w:tabs>
          <w:tab w:val="num" w:pos="6480"/>
        </w:tabs>
        <w:ind w:left="6480" w:hanging="360"/>
      </w:pPr>
      <w:rPr>
        <w:rFonts w:ascii="Wingdings" w:hAnsi="Wingdings" w:cs="Wingdings" w:hint="default"/>
        <w:rFonts w:cs="Wingdings"/>
      </w:rPr>
    </w:lvl>
  </w:abstractNum>
  <w:abstractNum w:abstractNumId="16">
    <w:lvl w:ilvl="0">
      <w:start w:val="1"/>
      <w:numFmt w:val="bullet"/>
      <w:lvlText w:val=""/>
      <w:lvlJc w:val="left"/>
      <w:pPr>
        <w:tabs>
          <w:tab w:val="num" w:pos="720"/>
        </w:tabs>
        <w:ind w:left="720" w:hanging="360"/>
      </w:pPr>
      <w:rPr>
        <w:rFonts w:ascii="Symbol" w:hAnsi="Symbol" w:cs="Symbol" w:hint="default"/>
        <w:rFonts w:cs="Symbol"/>
      </w:rPr>
    </w:lvl>
    <w:lvl w:ilvl="1">
      <w:start w:val="1"/>
      <w:numFmt w:val="bullet"/>
      <w:lvlText w:val="o"/>
      <w:lvlJc w:val="left"/>
      <w:pPr>
        <w:tabs>
          <w:tab w:val="num" w:pos="1440"/>
        </w:tabs>
        <w:ind w:left="1440" w:hanging="360"/>
      </w:pPr>
      <w:rPr>
        <w:rFonts w:ascii="Courier New" w:hAnsi="Courier New" w:cs="Courier New" w:hint="default"/>
        <w:rFonts w:cs="Courier New"/>
      </w:rPr>
    </w:lvl>
    <w:lvl w:ilvl="2">
      <w:start w:val="1"/>
      <w:numFmt w:val="bullet"/>
      <w:lvlText w:val=""/>
      <w:lvlJc w:val="left"/>
      <w:pPr>
        <w:tabs>
          <w:tab w:val="num" w:pos="2160"/>
        </w:tabs>
        <w:ind w:left="2160" w:hanging="360"/>
      </w:pPr>
      <w:rPr>
        <w:rFonts w:ascii="Wingdings" w:hAnsi="Wingdings" w:cs="Wingdings" w:hint="default"/>
        <w:rFonts w:cs="Wingdings"/>
      </w:rPr>
    </w:lvl>
    <w:lvl w:ilvl="3">
      <w:start w:val="1"/>
      <w:numFmt w:val="bullet"/>
      <w:lvlText w:val=""/>
      <w:lvlJc w:val="left"/>
      <w:pPr>
        <w:tabs>
          <w:tab w:val="num" w:pos="2880"/>
        </w:tabs>
        <w:ind w:left="2880" w:hanging="360"/>
      </w:pPr>
      <w:rPr>
        <w:rFonts w:ascii="Symbol" w:hAnsi="Symbol" w:cs="Symbol" w:hint="default"/>
        <w:rFonts w:cs="Symbol"/>
      </w:rPr>
    </w:lvl>
    <w:lvl w:ilvl="4">
      <w:start w:val="1"/>
      <w:numFmt w:val="bullet"/>
      <w:lvlText w:val="o"/>
      <w:lvlJc w:val="left"/>
      <w:pPr>
        <w:tabs>
          <w:tab w:val="num" w:pos="3600"/>
        </w:tabs>
        <w:ind w:left="3600" w:hanging="360"/>
      </w:pPr>
      <w:rPr>
        <w:rFonts w:ascii="Courier New" w:hAnsi="Courier New" w:cs="Courier New" w:hint="default"/>
        <w:rFonts w:cs="Courier New"/>
      </w:rPr>
    </w:lvl>
    <w:lvl w:ilvl="5">
      <w:start w:val="1"/>
      <w:numFmt w:val="bullet"/>
      <w:lvlText w:val=""/>
      <w:lvlJc w:val="left"/>
      <w:pPr>
        <w:tabs>
          <w:tab w:val="num" w:pos="4320"/>
        </w:tabs>
        <w:ind w:left="4320" w:hanging="360"/>
      </w:pPr>
      <w:rPr>
        <w:rFonts w:ascii="Wingdings" w:hAnsi="Wingdings" w:cs="Wingdings" w:hint="default"/>
        <w:rFonts w:cs="Wingdings"/>
      </w:rPr>
    </w:lvl>
    <w:lvl w:ilvl="6">
      <w:start w:val="1"/>
      <w:numFmt w:val="bullet"/>
      <w:lvlText w:val=""/>
      <w:lvlJc w:val="left"/>
      <w:pPr>
        <w:tabs>
          <w:tab w:val="num" w:pos="5040"/>
        </w:tabs>
        <w:ind w:left="5040" w:hanging="360"/>
      </w:pPr>
      <w:rPr>
        <w:rFonts w:ascii="Symbol" w:hAnsi="Symbol" w:cs="Symbol" w:hint="default"/>
        <w:rFonts w:cs="Symbol"/>
      </w:rPr>
    </w:lvl>
    <w:lvl w:ilvl="7">
      <w:start w:val="1"/>
      <w:numFmt w:val="bullet"/>
      <w:lvlText w:val="o"/>
      <w:lvlJc w:val="left"/>
      <w:pPr>
        <w:tabs>
          <w:tab w:val="num" w:pos="5760"/>
        </w:tabs>
        <w:ind w:left="5760" w:hanging="360"/>
      </w:pPr>
      <w:rPr>
        <w:rFonts w:ascii="Courier New" w:hAnsi="Courier New" w:cs="Courier New" w:hint="default"/>
        <w:rFonts w:cs="Courier New"/>
      </w:rPr>
    </w:lvl>
    <w:lvl w:ilvl="8">
      <w:start w:val="1"/>
      <w:numFmt w:val="bullet"/>
      <w:lvlText w:val=""/>
      <w:lvlJc w:val="left"/>
      <w:pPr>
        <w:tabs>
          <w:tab w:val="num" w:pos="6480"/>
        </w:tabs>
        <w:ind w:left="6480" w:hanging="360"/>
      </w:pPr>
      <w:rPr>
        <w:rFonts w:ascii="Wingdings" w:hAnsi="Wingdings" w:cs="Wingdings" w:hint="default"/>
        <w:rFonts w:cs="Wingdings"/>
      </w:rPr>
    </w:lvl>
  </w:abstractNum>
  <w:abstractNum w:abstractNumId="17">
    <w:lvl w:ilvl="0">
      <w:start w:val="1"/>
      <w:numFmt w:val="bullet"/>
      <w:lvlText w:val=""/>
      <w:lvlJc w:val="left"/>
      <w:pPr>
        <w:tabs>
          <w:tab w:val="num" w:pos="720"/>
        </w:tabs>
        <w:ind w:left="720" w:hanging="360"/>
      </w:pPr>
      <w:rPr>
        <w:rFonts w:ascii="Symbol" w:hAnsi="Symbol" w:cs="Symbol" w:hint="default"/>
        <w:rFonts w:cs="Symbol"/>
      </w:rPr>
    </w:lvl>
    <w:lvl w:ilvl="1">
      <w:start w:val="1"/>
      <w:numFmt w:val="bullet"/>
      <w:lvlText w:val="o"/>
      <w:lvlJc w:val="left"/>
      <w:pPr>
        <w:tabs>
          <w:tab w:val="num" w:pos="1440"/>
        </w:tabs>
        <w:ind w:left="1440" w:hanging="360"/>
      </w:pPr>
      <w:rPr>
        <w:rFonts w:ascii="Courier New" w:hAnsi="Courier New" w:cs="Courier New" w:hint="default"/>
        <w:rFonts w:cs="Courier New"/>
      </w:rPr>
    </w:lvl>
    <w:lvl w:ilvl="2">
      <w:start w:val="1"/>
      <w:numFmt w:val="bullet"/>
      <w:lvlText w:val=""/>
      <w:lvlJc w:val="left"/>
      <w:pPr>
        <w:tabs>
          <w:tab w:val="num" w:pos="2160"/>
        </w:tabs>
        <w:ind w:left="2160" w:hanging="360"/>
      </w:pPr>
      <w:rPr>
        <w:rFonts w:ascii="Wingdings" w:hAnsi="Wingdings" w:cs="Wingdings" w:hint="default"/>
        <w:rFonts w:cs="Wingdings"/>
      </w:rPr>
    </w:lvl>
    <w:lvl w:ilvl="3">
      <w:start w:val="1"/>
      <w:numFmt w:val="bullet"/>
      <w:lvlText w:val=""/>
      <w:lvlJc w:val="left"/>
      <w:pPr>
        <w:tabs>
          <w:tab w:val="num" w:pos="2880"/>
        </w:tabs>
        <w:ind w:left="2880" w:hanging="360"/>
      </w:pPr>
      <w:rPr>
        <w:rFonts w:ascii="Symbol" w:hAnsi="Symbol" w:cs="Symbol" w:hint="default"/>
        <w:rFonts w:cs="Symbol"/>
      </w:rPr>
    </w:lvl>
    <w:lvl w:ilvl="4">
      <w:start w:val="1"/>
      <w:numFmt w:val="bullet"/>
      <w:lvlText w:val="o"/>
      <w:lvlJc w:val="left"/>
      <w:pPr>
        <w:tabs>
          <w:tab w:val="num" w:pos="3600"/>
        </w:tabs>
        <w:ind w:left="3600" w:hanging="360"/>
      </w:pPr>
      <w:rPr>
        <w:rFonts w:ascii="Courier New" w:hAnsi="Courier New" w:cs="Courier New" w:hint="default"/>
        <w:rFonts w:cs="Courier New"/>
      </w:rPr>
    </w:lvl>
    <w:lvl w:ilvl="5">
      <w:start w:val="1"/>
      <w:numFmt w:val="bullet"/>
      <w:lvlText w:val=""/>
      <w:lvlJc w:val="left"/>
      <w:pPr>
        <w:tabs>
          <w:tab w:val="num" w:pos="4320"/>
        </w:tabs>
        <w:ind w:left="4320" w:hanging="360"/>
      </w:pPr>
      <w:rPr>
        <w:rFonts w:ascii="Wingdings" w:hAnsi="Wingdings" w:cs="Wingdings" w:hint="default"/>
        <w:rFonts w:cs="Wingdings"/>
      </w:rPr>
    </w:lvl>
    <w:lvl w:ilvl="6">
      <w:start w:val="1"/>
      <w:numFmt w:val="bullet"/>
      <w:lvlText w:val=""/>
      <w:lvlJc w:val="left"/>
      <w:pPr>
        <w:tabs>
          <w:tab w:val="num" w:pos="5040"/>
        </w:tabs>
        <w:ind w:left="5040" w:hanging="360"/>
      </w:pPr>
      <w:rPr>
        <w:rFonts w:ascii="Symbol" w:hAnsi="Symbol" w:cs="Symbol" w:hint="default"/>
        <w:rFonts w:cs="Symbol"/>
      </w:rPr>
    </w:lvl>
    <w:lvl w:ilvl="7">
      <w:start w:val="1"/>
      <w:numFmt w:val="bullet"/>
      <w:lvlText w:val="o"/>
      <w:lvlJc w:val="left"/>
      <w:pPr>
        <w:tabs>
          <w:tab w:val="num" w:pos="5760"/>
        </w:tabs>
        <w:ind w:left="5760" w:hanging="360"/>
      </w:pPr>
      <w:rPr>
        <w:rFonts w:ascii="Courier New" w:hAnsi="Courier New" w:cs="Courier New" w:hint="default"/>
        <w:rFonts w:cs="Courier New"/>
      </w:rPr>
    </w:lvl>
    <w:lvl w:ilvl="8">
      <w:start w:val="1"/>
      <w:numFmt w:val="bullet"/>
      <w:lvlText w:val=""/>
      <w:lvlJc w:val="left"/>
      <w:pPr>
        <w:tabs>
          <w:tab w:val="num" w:pos="6480"/>
        </w:tabs>
        <w:ind w:left="6480" w:hanging="360"/>
      </w:pPr>
      <w:rPr>
        <w:rFonts w:ascii="Wingdings" w:hAnsi="Wingdings" w:cs="Wingdings" w:hint="default"/>
        <w:rFonts w:cs="Wingdings"/>
      </w:rPr>
    </w:lvl>
  </w:abstractNum>
  <w:abstractNum w:abstractNumId="18">
    <w:lvl w:ilvl="0">
      <w:start w:val="1"/>
      <w:numFmt w:val="decimal"/>
      <w:lvlText w:val="%1."/>
      <w:lvlJc w:val="left"/>
      <w:pPr>
        <w:ind w:left="360" w:hanging="360"/>
      </w:pPr>
    </w:lvl>
    <w:lvl w:ilvl="1">
      <w:start w:val="1"/>
      <w:numFmt w:val="decimal"/>
      <w:lvlText w:val="%1.%2."/>
      <w:lvlJc w:val="left"/>
      <w:pPr>
        <w:ind w:left="1141" w:hanging="432"/>
      </w:pPr>
      <w:rPr>
        <w:sz w:val="24"/>
        <w:szCs w:val="24"/>
        <w:rFonts w:ascii="Arial" w:hAnsi="Arial"/>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lvl w:ilvl="0">
      <w:start w:val="1"/>
      <w:numFmt w:val="bullet"/>
      <w:lvlText w:val=""/>
      <w:lvlJc w:val="left"/>
      <w:pPr>
        <w:tabs>
          <w:tab w:val="num" w:pos="720"/>
        </w:tabs>
        <w:ind w:left="720" w:hanging="360"/>
      </w:pPr>
      <w:rPr>
        <w:rFonts w:ascii="Symbol" w:hAnsi="Symbol" w:cs="Symbol" w:hint="default"/>
        <w:rFonts w:cs="Symbol"/>
      </w:rPr>
    </w:lvl>
    <w:lvl w:ilvl="1">
      <w:start w:val="1"/>
      <w:numFmt w:val="bullet"/>
      <w:lvlText w:val="o"/>
      <w:lvlJc w:val="left"/>
      <w:pPr>
        <w:tabs>
          <w:tab w:val="num" w:pos="1440"/>
        </w:tabs>
        <w:ind w:left="1440" w:hanging="360"/>
      </w:pPr>
      <w:rPr>
        <w:rFonts w:ascii="Courier New" w:hAnsi="Courier New" w:cs="Courier New" w:hint="default"/>
        <w:rFonts w:cs="Courier New"/>
      </w:rPr>
    </w:lvl>
    <w:lvl w:ilvl="2">
      <w:start w:val="1"/>
      <w:numFmt w:val="bullet"/>
      <w:lvlText w:val=""/>
      <w:lvlJc w:val="left"/>
      <w:pPr>
        <w:tabs>
          <w:tab w:val="num" w:pos="2160"/>
        </w:tabs>
        <w:ind w:left="2160" w:hanging="360"/>
      </w:pPr>
      <w:rPr>
        <w:rFonts w:ascii="Wingdings" w:hAnsi="Wingdings" w:cs="Wingdings" w:hint="default"/>
        <w:rFonts w:cs="Wingdings"/>
      </w:rPr>
    </w:lvl>
    <w:lvl w:ilvl="3">
      <w:start w:val="1"/>
      <w:numFmt w:val="bullet"/>
      <w:lvlText w:val=""/>
      <w:lvlJc w:val="left"/>
      <w:pPr>
        <w:tabs>
          <w:tab w:val="num" w:pos="2880"/>
        </w:tabs>
        <w:ind w:left="2880" w:hanging="360"/>
      </w:pPr>
      <w:rPr>
        <w:rFonts w:ascii="Symbol" w:hAnsi="Symbol" w:cs="Symbol" w:hint="default"/>
        <w:rFonts w:cs="Symbol"/>
      </w:rPr>
    </w:lvl>
    <w:lvl w:ilvl="4">
      <w:start w:val="1"/>
      <w:numFmt w:val="bullet"/>
      <w:lvlText w:val="o"/>
      <w:lvlJc w:val="left"/>
      <w:pPr>
        <w:tabs>
          <w:tab w:val="num" w:pos="3600"/>
        </w:tabs>
        <w:ind w:left="3600" w:hanging="360"/>
      </w:pPr>
      <w:rPr>
        <w:rFonts w:ascii="Courier New" w:hAnsi="Courier New" w:cs="Courier New" w:hint="default"/>
        <w:rFonts w:cs="Courier New"/>
      </w:rPr>
    </w:lvl>
    <w:lvl w:ilvl="5">
      <w:start w:val="1"/>
      <w:numFmt w:val="bullet"/>
      <w:lvlText w:val=""/>
      <w:lvlJc w:val="left"/>
      <w:pPr>
        <w:tabs>
          <w:tab w:val="num" w:pos="4320"/>
        </w:tabs>
        <w:ind w:left="4320" w:hanging="360"/>
      </w:pPr>
      <w:rPr>
        <w:rFonts w:ascii="Wingdings" w:hAnsi="Wingdings" w:cs="Wingdings" w:hint="default"/>
        <w:rFonts w:cs="Wingdings"/>
      </w:rPr>
    </w:lvl>
    <w:lvl w:ilvl="6">
      <w:start w:val="1"/>
      <w:numFmt w:val="bullet"/>
      <w:lvlText w:val=""/>
      <w:lvlJc w:val="left"/>
      <w:pPr>
        <w:tabs>
          <w:tab w:val="num" w:pos="5040"/>
        </w:tabs>
        <w:ind w:left="5040" w:hanging="360"/>
      </w:pPr>
      <w:rPr>
        <w:rFonts w:ascii="Symbol" w:hAnsi="Symbol" w:cs="Symbol" w:hint="default"/>
        <w:rFonts w:cs="Symbol"/>
      </w:rPr>
    </w:lvl>
    <w:lvl w:ilvl="7">
      <w:start w:val="1"/>
      <w:numFmt w:val="bullet"/>
      <w:lvlText w:val="o"/>
      <w:lvlJc w:val="left"/>
      <w:pPr>
        <w:tabs>
          <w:tab w:val="num" w:pos="5760"/>
        </w:tabs>
        <w:ind w:left="5760" w:hanging="360"/>
      </w:pPr>
      <w:rPr>
        <w:rFonts w:ascii="Courier New" w:hAnsi="Courier New" w:cs="Courier New" w:hint="default"/>
        <w:rFonts w:cs="Courier New"/>
      </w:rPr>
    </w:lvl>
    <w:lvl w:ilvl="8">
      <w:start w:val="1"/>
      <w:numFmt w:val="bullet"/>
      <w:lvlText w:val=""/>
      <w:lvlJc w:val="left"/>
      <w:pPr>
        <w:tabs>
          <w:tab w:val="num" w:pos="6480"/>
        </w:tabs>
        <w:ind w:left="6480" w:hanging="360"/>
      </w:pPr>
      <w:rPr>
        <w:rFonts w:ascii="Wingdings" w:hAnsi="Wingdings" w:cs="Wingdings" w:hint="default"/>
        <w:rFonts w:cs="Wingdings"/>
      </w:rPr>
    </w:lvl>
  </w:abstractNum>
  <w:abstractNum w:abstractNumId="20">
    <w:lvl w:ilvl="0">
      <w:start w:val="1"/>
      <w:numFmt w:val="bullet"/>
      <w:lvlText w:val=""/>
      <w:lvlJc w:val="left"/>
      <w:pPr>
        <w:tabs>
          <w:tab w:val="num" w:pos="360"/>
        </w:tabs>
        <w:ind w:left="360" w:hanging="360"/>
      </w:pPr>
      <w:rPr>
        <w:rFonts w:ascii="Symbol" w:hAnsi="Symbol" w:cs="Symbol" w:hint="default"/>
        <w:rFonts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lvl w:ilvl="0">
      <w:start w:val="1"/>
      <w:numFmt w:val="bullet"/>
      <w:lvlText w:val=""/>
      <w:lvlJc w:val="left"/>
      <w:pPr>
        <w:tabs>
          <w:tab w:val="num" w:pos="360"/>
        </w:tabs>
        <w:ind w:left="360" w:hanging="360"/>
      </w:pPr>
      <w:rPr>
        <w:rFonts w:ascii="Symbol" w:hAnsi="Symbol" w:cs="Symbol" w:hint="default"/>
        <w:rFonts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lvl w:ilvl="0">
      <w:start w:val="1"/>
      <w:numFmt w:val="bullet"/>
      <w:lvlText w:val=""/>
      <w:lvlJc w:val="left"/>
      <w:pPr>
        <w:tabs>
          <w:tab w:val="num" w:pos="360"/>
        </w:tabs>
        <w:ind w:left="360" w:hanging="360"/>
      </w:pPr>
      <w:rPr>
        <w:rFonts w:ascii="Symbol" w:hAnsi="Symbol" w:cs="Symbol" w:hint="default"/>
        <w:rFonts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lvl w:ilvl="0">
      <w:start w:val="1"/>
      <w:numFmt w:val="bullet"/>
      <w:lvlText w:val=""/>
      <w:lvlJc w:val="left"/>
      <w:pPr>
        <w:tabs>
          <w:tab w:val="num" w:pos="360"/>
        </w:tabs>
        <w:ind w:left="360" w:hanging="360"/>
      </w:pPr>
      <w:rPr>
        <w:rFonts w:ascii="Symbol" w:hAnsi="Symbol" w:cs="Symbol" w:hint="default"/>
        <w:rFonts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lvl w:ilvl="0">
      <w:start w:val="1"/>
      <w:numFmt w:val="bullet"/>
      <w:lvlText w:val=""/>
      <w:lvlJc w:val="left"/>
      <w:pPr>
        <w:tabs>
          <w:tab w:val="num" w:pos="360"/>
        </w:tabs>
        <w:ind w:left="360" w:hanging="360"/>
      </w:pPr>
      <w:rPr>
        <w:rFonts w:ascii="Symbol" w:hAnsi="Symbol" w:cs="Symbol" w:hint="default"/>
        <w:rFonts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5">
    <w:lvl w:ilvl="0">
      <w:start w:val="1"/>
      <w:numFmt w:val="bullet"/>
      <w:lvlText w:val=""/>
      <w:lvlJc w:val="left"/>
      <w:pPr>
        <w:ind w:left="720" w:hanging="360"/>
      </w:pPr>
      <w:rPr>
        <w:rFonts w:ascii="Symbol" w:hAnsi="Symbol" w:cs="Symbol" w:hint="default"/>
        <w:rFonts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6">
    <w:lvl w:ilvl="0">
      <w:start w:val="1"/>
      <w:numFmt w:val="bullet"/>
      <w:lvlText w:val=""/>
      <w:lvlJc w:val="left"/>
      <w:pPr>
        <w:tabs>
          <w:tab w:val="num" w:pos="360"/>
        </w:tabs>
        <w:ind w:left="360" w:hanging="360"/>
      </w:pPr>
      <w:rPr>
        <w:rFonts w:ascii="Symbol" w:hAnsi="Symbol" w:cs="Symbol" w:hint="default"/>
        <w:rFonts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lvl w:ilvl="0">
      <w:start w:val="1"/>
      <w:numFmt w:val="bullet"/>
      <w:lvlText w:val=""/>
      <w:lvlJc w:val="left"/>
      <w:pPr>
        <w:tabs>
          <w:tab w:val="num" w:pos="720"/>
        </w:tabs>
        <w:ind w:left="720" w:hanging="360"/>
      </w:pPr>
      <w:rPr>
        <w:rFonts w:ascii="Symbol" w:hAnsi="Symbol" w:cs="Symbol" w:hint="default"/>
        <w:rFonts w:cs="Symbol"/>
      </w:rPr>
    </w:lvl>
    <w:lvl w:ilvl="1">
      <w:start w:val="1"/>
      <w:numFmt w:val="bullet"/>
      <w:lvlText w:val="o"/>
      <w:lvlJc w:val="left"/>
      <w:pPr>
        <w:tabs>
          <w:tab w:val="num" w:pos="1440"/>
        </w:tabs>
        <w:ind w:left="1440" w:hanging="360"/>
      </w:pPr>
      <w:rPr>
        <w:rFonts w:ascii="Courier New" w:hAnsi="Courier New" w:cs="Courier New" w:hint="default"/>
        <w:rFonts w:cs="Courier New"/>
      </w:rPr>
    </w:lvl>
    <w:lvl w:ilvl="2">
      <w:start w:val="1"/>
      <w:numFmt w:val="bullet"/>
      <w:lvlText w:val=""/>
      <w:lvlJc w:val="left"/>
      <w:pPr>
        <w:tabs>
          <w:tab w:val="num" w:pos="2160"/>
        </w:tabs>
        <w:ind w:left="2160" w:hanging="360"/>
      </w:pPr>
      <w:rPr>
        <w:rFonts w:ascii="Wingdings" w:hAnsi="Wingdings" w:cs="Wingdings" w:hint="default"/>
        <w:rFonts w:cs="Wingdings"/>
      </w:rPr>
    </w:lvl>
    <w:lvl w:ilvl="3">
      <w:start w:val="1"/>
      <w:numFmt w:val="bullet"/>
      <w:lvlText w:val=""/>
      <w:lvlJc w:val="left"/>
      <w:pPr>
        <w:tabs>
          <w:tab w:val="num" w:pos="2880"/>
        </w:tabs>
        <w:ind w:left="2880" w:hanging="360"/>
      </w:pPr>
      <w:rPr>
        <w:rFonts w:ascii="Symbol" w:hAnsi="Symbol" w:cs="Symbol" w:hint="default"/>
        <w:rFonts w:cs="Symbol"/>
      </w:rPr>
    </w:lvl>
    <w:lvl w:ilvl="4">
      <w:start w:val="1"/>
      <w:numFmt w:val="bullet"/>
      <w:lvlText w:val="o"/>
      <w:lvlJc w:val="left"/>
      <w:pPr>
        <w:tabs>
          <w:tab w:val="num" w:pos="3600"/>
        </w:tabs>
        <w:ind w:left="3600" w:hanging="360"/>
      </w:pPr>
      <w:rPr>
        <w:rFonts w:ascii="Courier New" w:hAnsi="Courier New" w:cs="Courier New" w:hint="default"/>
        <w:rFonts w:cs="Courier New"/>
      </w:rPr>
    </w:lvl>
    <w:lvl w:ilvl="5">
      <w:start w:val="1"/>
      <w:numFmt w:val="bullet"/>
      <w:lvlText w:val=""/>
      <w:lvlJc w:val="left"/>
      <w:pPr>
        <w:tabs>
          <w:tab w:val="num" w:pos="4320"/>
        </w:tabs>
        <w:ind w:left="4320" w:hanging="360"/>
      </w:pPr>
      <w:rPr>
        <w:rFonts w:ascii="Wingdings" w:hAnsi="Wingdings" w:cs="Wingdings" w:hint="default"/>
        <w:rFonts w:cs="Wingdings"/>
      </w:rPr>
    </w:lvl>
    <w:lvl w:ilvl="6">
      <w:start w:val="1"/>
      <w:numFmt w:val="bullet"/>
      <w:lvlText w:val=""/>
      <w:lvlJc w:val="left"/>
      <w:pPr>
        <w:tabs>
          <w:tab w:val="num" w:pos="5040"/>
        </w:tabs>
        <w:ind w:left="5040" w:hanging="360"/>
      </w:pPr>
      <w:rPr>
        <w:rFonts w:ascii="Symbol" w:hAnsi="Symbol" w:cs="Symbol" w:hint="default"/>
        <w:rFonts w:cs="Symbol"/>
      </w:rPr>
    </w:lvl>
    <w:lvl w:ilvl="7">
      <w:start w:val="1"/>
      <w:numFmt w:val="bullet"/>
      <w:lvlText w:val="o"/>
      <w:lvlJc w:val="left"/>
      <w:pPr>
        <w:tabs>
          <w:tab w:val="num" w:pos="5760"/>
        </w:tabs>
        <w:ind w:left="5760" w:hanging="360"/>
      </w:pPr>
      <w:rPr>
        <w:rFonts w:ascii="Courier New" w:hAnsi="Courier New" w:cs="Courier New" w:hint="default"/>
        <w:rFonts w:cs="Courier New"/>
      </w:rPr>
    </w:lvl>
    <w:lvl w:ilvl="8">
      <w:start w:val="1"/>
      <w:numFmt w:val="bullet"/>
      <w:lvlText w:val=""/>
      <w:lvlJc w:val="left"/>
      <w:pPr>
        <w:tabs>
          <w:tab w:val="num" w:pos="6480"/>
        </w:tabs>
        <w:ind w:left="6480" w:hanging="360"/>
      </w:pPr>
      <w:rPr>
        <w:rFonts w:ascii="Wingdings" w:hAnsi="Wingdings" w:cs="Wingdings" w:hint="default"/>
        <w:rFonts w:cs="Wingdings"/>
      </w:rPr>
    </w:lvl>
  </w:abstractNum>
  <w:abstractNum w:abstractNumId="28">
    <w:lvl w:ilvl="0">
      <w:start w:val="1"/>
      <w:numFmt w:val="bullet"/>
      <w:lvlText w:val=""/>
      <w:lvlJc w:val="left"/>
      <w:pPr>
        <w:ind w:left="720" w:hanging="360"/>
      </w:pPr>
      <w:rPr>
        <w:rFonts w:ascii="Symbol" w:hAnsi="Symbol" w:cs="Symbol" w:hint="default"/>
        <w:rFonts w:cs="Symbol"/>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29">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lvl w:ilvl="0">
      <w:start w:val="1"/>
      <w:numFmt w:val="decimal"/>
      <w:lvlText w:val="%1."/>
      <w:lvlJc w:val="left"/>
      <w:pPr>
        <w:ind w:left="480" w:hanging="48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160" w:hanging="2160"/>
      </w:pPr>
    </w:lvl>
  </w:abstractNum>
  <w:abstractNum w:abstractNumId="31">
    <w:lvl w:ilvl="0">
      <w:start w:val="1"/>
      <w:numFmt w:val="bullet"/>
      <w:lvlText w:val=""/>
      <w:lvlJc w:val="left"/>
      <w:pPr>
        <w:tabs>
          <w:tab w:val="num" w:pos="1080"/>
        </w:tabs>
        <w:ind w:left="1080" w:hanging="360"/>
      </w:pPr>
      <w:rPr>
        <w:rFonts w:ascii="Symbol" w:hAnsi="Symbol" w:cs="Symbol" w:hint="default"/>
        <w:rFonts w:cs="Symbol"/>
      </w:rPr>
    </w:lvl>
    <w:lvl w:ilvl="1">
      <w:start w:val="1"/>
      <w:numFmt w:val="bullet"/>
      <w:lvlText w:val="o"/>
      <w:lvlJc w:val="left"/>
      <w:pPr>
        <w:tabs>
          <w:tab w:val="num" w:pos="1800"/>
        </w:tabs>
        <w:ind w:left="1800" w:hanging="360"/>
      </w:pPr>
      <w:rPr>
        <w:rFonts w:ascii="Courier New" w:hAnsi="Courier New" w:cs="Courier New" w:hint="default"/>
        <w:rFonts w:cs="Courier New"/>
      </w:rPr>
    </w:lvl>
    <w:lvl w:ilvl="2">
      <w:start w:val="1"/>
      <w:numFmt w:val="bullet"/>
      <w:lvlText w:val=""/>
      <w:lvlJc w:val="left"/>
      <w:pPr>
        <w:tabs>
          <w:tab w:val="num" w:pos="2520"/>
        </w:tabs>
        <w:ind w:left="2520" w:hanging="360"/>
      </w:pPr>
      <w:rPr>
        <w:rFonts w:ascii="Wingdings" w:hAnsi="Wingdings" w:cs="Wingdings" w:hint="default"/>
        <w:rFonts w:cs="Wingdings"/>
      </w:rPr>
    </w:lvl>
    <w:lvl w:ilvl="3">
      <w:start w:val="1"/>
      <w:numFmt w:val="bullet"/>
      <w:lvlText w:val=""/>
      <w:lvlJc w:val="left"/>
      <w:pPr>
        <w:tabs>
          <w:tab w:val="num" w:pos="3240"/>
        </w:tabs>
        <w:ind w:left="3240" w:hanging="360"/>
      </w:pPr>
      <w:rPr>
        <w:rFonts w:ascii="Symbol" w:hAnsi="Symbol" w:cs="Symbol" w:hint="default"/>
        <w:rFonts w:cs="Symbol"/>
      </w:rPr>
    </w:lvl>
    <w:lvl w:ilvl="4">
      <w:start w:val="1"/>
      <w:numFmt w:val="bullet"/>
      <w:lvlText w:val="o"/>
      <w:lvlJc w:val="left"/>
      <w:pPr>
        <w:tabs>
          <w:tab w:val="num" w:pos="3960"/>
        </w:tabs>
        <w:ind w:left="3960" w:hanging="360"/>
      </w:pPr>
      <w:rPr>
        <w:rFonts w:ascii="Courier New" w:hAnsi="Courier New" w:cs="Courier New" w:hint="default"/>
        <w:rFonts w:cs="Courier New"/>
      </w:rPr>
    </w:lvl>
    <w:lvl w:ilvl="5">
      <w:start w:val="1"/>
      <w:numFmt w:val="bullet"/>
      <w:lvlText w:val=""/>
      <w:lvlJc w:val="left"/>
      <w:pPr>
        <w:tabs>
          <w:tab w:val="num" w:pos="4680"/>
        </w:tabs>
        <w:ind w:left="4680" w:hanging="360"/>
      </w:pPr>
      <w:rPr>
        <w:rFonts w:ascii="Wingdings" w:hAnsi="Wingdings" w:cs="Wingdings" w:hint="default"/>
        <w:rFonts w:cs="Wingdings"/>
      </w:rPr>
    </w:lvl>
    <w:lvl w:ilvl="6">
      <w:start w:val="1"/>
      <w:numFmt w:val="bullet"/>
      <w:lvlText w:val=""/>
      <w:lvlJc w:val="left"/>
      <w:pPr>
        <w:tabs>
          <w:tab w:val="num" w:pos="5400"/>
        </w:tabs>
        <w:ind w:left="5400" w:hanging="360"/>
      </w:pPr>
      <w:rPr>
        <w:rFonts w:ascii="Symbol" w:hAnsi="Symbol" w:cs="Symbol" w:hint="default"/>
        <w:rFonts w:cs="Symbol"/>
      </w:rPr>
    </w:lvl>
    <w:lvl w:ilvl="7">
      <w:start w:val="1"/>
      <w:numFmt w:val="bullet"/>
      <w:lvlText w:val="o"/>
      <w:lvlJc w:val="left"/>
      <w:pPr>
        <w:tabs>
          <w:tab w:val="num" w:pos="6120"/>
        </w:tabs>
        <w:ind w:left="6120" w:hanging="360"/>
      </w:pPr>
      <w:rPr>
        <w:rFonts w:ascii="Courier New" w:hAnsi="Courier New" w:cs="Courier New" w:hint="default"/>
        <w:rFonts w:cs="Courier New"/>
      </w:rPr>
    </w:lvl>
    <w:lvl w:ilvl="8">
      <w:start w:val="1"/>
      <w:numFmt w:val="bullet"/>
      <w:lvlText w:val=""/>
      <w:lvlJc w:val="left"/>
      <w:pPr>
        <w:tabs>
          <w:tab w:val="num" w:pos="6840"/>
        </w:tabs>
        <w:ind w:left="6840" w:hanging="360"/>
      </w:pPr>
      <w:rPr>
        <w:rFonts w:ascii="Wingdings" w:hAnsi="Wingdings" w:cs="Wingdings" w:hint="default"/>
        <w:rFonts w:cs="Wingdings"/>
      </w:rPr>
    </w:lvl>
  </w:abstractNum>
  <w:abstractNum w:abstractNumId="32">
    <w:lvl w:ilvl="0">
      <w:start w:val="1"/>
      <w:numFmt w:val="bullet"/>
      <w:lvlText w:val=""/>
      <w:lvlJc w:val="left"/>
      <w:pPr>
        <w:tabs>
          <w:tab w:val="num" w:pos="720"/>
        </w:tabs>
        <w:ind w:left="720" w:hanging="360"/>
      </w:pPr>
      <w:rPr>
        <w:rFonts w:ascii="Symbol" w:hAnsi="Symbol" w:cs="Symbol" w:hint="default"/>
        <w:rFonts w:cs="Symbol"/>
      </w:rPr>
    </w:lvl>
    <w:lvl w:ilvl="1">
      <w:start w:val="1"/>
      <w:numFmt w:val="bullet"/>
      <w:lvlText w:val="o"/>
      <w:lvlJc w:val="left"/>
      <w:pPr>
        <w:tabs>
          <w:tab w:val="num" w:pos="1440"/>
        </w:tabs>
        <w:ind w:left="1440" w:hanging="360"/>
      </w:pPr>
      <w:rPr>
        <w:rFonts w:ascii="Courier New" w:hAnsi="Courier New" w:cs="Courier New" w:hint="default"/>
        <w:rFonts w:cs="Courier New"/>
      </w:rPr>
    </w:lvl>
    <w:lvl w:ilvl="2">
      <w:start w:val="1"/>
      <w:numFmt w:val="bullet"/>
      <w:lvlText w:val=""/>
      <w:lvlJc w:val="left"/>
      <w:pPr>
        <w:tabs>
          <w:tab w:val="num" w:pos="2160"/>
        </w:tabs>
        <w:ind w:left="2160" w:hanging="360"/>
      </w:pPr>
      <w:rPr>
        <w:rFonts w:ascii="Wingdings" w:hAnsi="Wingdings" w:cs="Wingdings" w:hint="default"/>
        <w:rFonts w:cs="Wingdings"/>
      </w:rPr>
    </w:lvl>
    <w:lvl w:ilvl="3">
      <w:start w:val="1"/>
      <w:numFmt w:val="bullet"/>
      <w:lvlText w:val=""/>
      <w:lvlJc w:val="left"/>
      <w:pPr>
        <w:tabs>
          <w:tab w:val="num" w:pos="2880"/>
        </w:tabs>
        <w:ind w:left="2880" w:hanging="360"/>
      </w:pPr>
      <w:rPr>
        <w:rFonts w:ascii="Symbol" w:hAnsi="Symbol" w:cs="Symbol" w:hint="default"/>
        <w:rFonts w:cs="Symbol"/>
      </w:rPr>
    </w:lvl>
    <w:lvl w:ilvl="4">
      <w:start w:val="1"/>
      <w:numFmt w:val="bullet"/>
      <w:lvlText w:val="o"/>
      <w:lvlJc w:val="left"/>
      <w:pPr>
        <w:tabs>
          <w:tab w:val="num" w:pos="3600"/>
        </w:tabs>
        <w:ind w:left="3600" w:hanging="360"/>
      </w:pPr>
      <w:rPr>
        <w:rFonts w:ascii="Courier New" w:hAnsi="Courier New" w:cs="Courier New" w:hint="default"/>
        <w:rFonts w:cs="Courier New"/>
      </w:rPr>
    </w:lvl>
    <w:lvl w:ilvl="5">
      <w:start w:val="1"/>
      <w:numFmt w:val="bullet"/>
      <w:lvlText w:val=""/>
      <w:lvlJc w:val="left"/>
      <w:pPr>
        <w:tabs>
          <w:tab w:val="num" w:pos="4320"/>
        </w:tabs>
        <w:ind w:left="4320" w:hanging="360"/>
      </w:pPr>
      <w:rPr>
        <w:rFonts w:ascii="Wingdings" w:hAnsi="Wingdings" w:cs="Wingdings" w:hint="default"/>
        <w:rFonts w:cs="Wingdings"/>
      </w:rPr>
    </w:lvl>
    <w:lvl w:ilvl="6">
      <w:start w:val="1"/>
      <w:numFmt w:val="bullet"/>
      <w:lvlText w:val=""/>
      <w:lvlJc w:val="left"/>
      <w:pPr>
        <w:tabs>
          <w:tab w:val="num" w:pos="5040"/>
        </w:tabs>
        <w:ind w:left="5040" w:hanging="360"/>
      </w:pPr>
      <w:rPr>
        <w:rFonts w:ascii="Symbol" w:hAnsi="Symbol" w:cs="Symbol" w:hint="default"/>
        <w:rFonts w:cs="Symbol"/>
      </w:rPr>
    </w:lvl>
    <w:lvl w:ilvl="7">
      <w:start w:val="1"/>
      <w:numFmt w:val="bullet"/>
      <w:lvlText w:val="o"/>
      <w:lvlJc w:val="left"/>
      <w:pPr>
        <w:tabs>
          <w:tab w:val="num" w:pos="5760"/>
        </w:tabs>
        <w:ind w:left="5760" w:hanging="360"/>
      </w:pPr>
      <w:rPr>
        <w:rFonts w:ascii="Courier New" w:hAnsi="Courier New" w:cs="Courier New" w:hint="default"/>
        <w:rFonts w:cs="Courier New"/>
      </w:rPr>
    </w:lvl>
    <w:lvl w:ilvl="8">
      <w:start w:val="1"/>
      <w:numFmt w:val="bullet"/>
      <w:lvlText w:val=""/>
      <w:lvlJc w:val="left"/>
      <w:pPr>
        <w:tabs>
          <w:tab w:val="num" w:pos="6480"/>
        </w:tabs>
        <w:ind w:left="6480" w:hanging="360"/>
      </w:pPr>
      <w:rPr>
        <w:rFonts w:ascii="Wingdings" w:hAnsi="Wingdings" w:cs="Wingdings" w:hint="default"/>
        <w:rFonts w:cs="Wingdings"/>
      </w:rPr>
    </w:lvl>
  </w:abstractNum>
  <w:abstractNum w:abstractNumId="33">
    <w:lvl w:ilvl="0">
      <w:start w:val="1"/>
      <w:numFmt w:val="bullet"/>
      <w:lvlText w:val=""/>
      <w:lvlJc w:val="left"/>
      <w:pPr>
        <w:tabs>
          <w:tab w:val="num" w:pos="1080"/>
        </w:tabs>
        <w:ind w:left="1080" w:hanging="360"/>
      </w:pPr>
      <w:rPr>
        <w:rFonts w:ascii="Symbol" w:hAnsi="Symbol" w:cs="Symbol" w:hint="default"/>
        <w:rFonts w:cs="Symbol"/>
      </w:rPr>
    </w:lvl>
    <w:lvl w:ilvl="1">
      <w:start w:val="1"/>
      <w:numFmt w:val="bullet"/>
      <w:lvlText w:val="o"/>
      <w:lvlJc w:val="left"/>
      <w:pPr>
        <w:tabs>
          <w:tab w:val="num" w:pos="1800"/>
        </w:tabs>
        <w:ind w:left="1800" w:hanging="360"/>
      </w:pPr>
      <w:rPr>
        <w:rFonts w:ascii="Courier New" w:hAnsi="Courier New" w:cs="Courier New" w:hint="default"/>
        <w:rFonts w:cs="Courier New"/>
      </w:rPr>
    </w:lvl>
    <w:lvl w:ilvl="2">
      <w:start w:val="1"/>
      <w:numFmt w:val="bullet"/>
      <w:lvlText w:val=""/>
      <w:lvlJc w:val="left"/>
      <w:pPr>
        <w:tabs>
          <w:tab w:val="num" w:pos="2520"/>
        </w:tabs>
        <w:ind w:left="2520" w:hanging="360"/>
      </w:pPr>
      <w:rPr>
        <w:rFonts w:ascii="Wingdings" w:hAnsi="Wingdings" w:cs="Wingdings" w:hint="default"/>
        <w:rFonts w:cs="Wingdings"/>
      </w:rPr>
    </w:lvl>
    <w:lvl w:ilvl="3">
      <w:start w:val="1"/>
      <w:numFmt w:val="bullet"/>
      <w:lvlText w:val=""/>
      <w:lvlJc w:val="left"/>
      <w:pPr>
        <w:tabs>
          <w:tab w:val="num" w:pos="3240"/>
        </w:tabs>
        <w:ind w:left="3240" w:hanging="360"/>
      </w:pPr>
      <w:rPr>
        <w:rFonts w:ascii="Symbol" w:hAnsi="Symbol" w:cs="Symbol" w:hint="default"/>
        <w:rFonts w:cs="Symbol"/>
      </w:rPr>
    </w:lvl>
    <w:lvl w:ilvl="4">
      <w:start w:val="1"/>
      <w:numFmt w:val="bullet"/>
      <w:lvlText w:val="o"/>
      <w:lvlJc w:val="left"/>
      <w:pPr>
        <w:tabs>
          <w:tab w:val="num" w:pos="3960"/>
        </w:tabs>
        <w:ind w:left="3960" w:hanging="360"/>
      </w:pPr>
      <w:rPr>
        <w:rFonts w:ascii="Courier New" w:hAnsi="Courier New" w:cs="Courier New" w:hint="default"/>
        <w:rFonts w:cs="Courier New"/>
      </w:rPr>
    </w:lvl>
    <w:lvl w:ilvl="5">
      <w:start w:val="1"/>
      <w:numFmt w:val="bullet"/>
      <w:lvlText w:val=""/>
      <w:lvlJc w:val="left"/>
      <w:pPr>
        <w:tabs>
          <w:tab w:val="num" w:pos="4680"/>
        </w:tabs>
        <w:ind w:left="4680" w:hanging="360"/>
      </w:pPr>
      <w:rPr>
        <w:rFonts w:ascii="Wingdings" w:hAnsi="Wingdings" w:cs="Wingdings" w:hint="default"/>
        <w:rFonts w:cs="Wingdings"/>
      </w:rPr>
    </w:lvl>
    <w:lvl w:ilvl="6">
      <w:start w:val="1"/>
      <w:numFmt w:val="bullet"/>
      <w:lvlText w:val=""/>
      <w:lvlJc w:val="left"/>
      <w:pPr>
        <w:tabs>
          <w:tab w:val="num" w:pos="5400"/>
        </w:tabs>
        <w:ind w:left="5400" w:hanging="360"/>
      </w:pPr>
      <w:rPr>
        <w:rFonts w:ascii="Symbol" w:hAnsi="Symbol" w:cs="Symbol" w:hint="default"/>
        <w:rFonts w:cs="Symbol"/>
      </w:rPr>
    </w:lvl>
    <w:lvl w:ilvl="7">
      <w:start w:val="1"/>
      <w:numFmt w:val="bullet"/>
      <w:lvlText w:val="o"/>
      <w:lvlJc w:val="left"/>
      <w:pPr>
        <w:tabs>
          <w:tab w:val="num" w:pos="6120"/>
        </w:tabs>
        <w:ind w:left="6120" w:hanging="360"/>
      </w:pPr>
      <w:rPr>
        <w:rFonts w:ascii="Courier New" w:hAnsi="Courier New" w:cs="Courier New" w:hint="default"/>
        <w:rFonts w:cs="Courier New"/>
      </w:rPr>
    </w:lvl>
    <w:lvl w:ilvl="8">
      <w:start w:val="1"/>
      <w:numFmt w:val="bullet"/>
      <w:lvlText w:val=""/>
      <w:lvlJc w:val="left"/>
      <w:pPr>
        <w:tabs>
          <w:tab w:val="num" w:pos="6840"/>
        </w:tabs>
        <w:ind w:left="6840" w:hanging="360"/>
      </w:pPr>
      <w:rPr>
        <w:rFonts w:ascii="Wingdings" w:hAnsi="Wingdings" w:cs="Wingdings" w:hint="default"/>
        <w:rFonts w:cs="Wingdings"/>
      </w:rPr>
    </w:lvl>
  </w:abstractNum>
  <w:abstractNum w:abstractNumId="34">
    <w:lvl w:ilvl="0">
      <w:start w:val="1"/>
      <w:numFmt w:val="bullet"/>
      <w:lvlText w:val=""/>
      <w:lvlJc w:val="left"/>
      <w:pPr>
        <w:tabs>
          <w:tab w:val="num" w:pos="1080"/>
        </w:tabs>
        <w:ind w:left="1080" w:hanging="360"/>
      </w:pPr>
      <w:rPr>
        <w:rFonts w:ascii="Symbol" w:hAnsi="Symbol" w:cs="Symbol" w:hint="default"/>
        <w:rFonts w:cs="Symbol"/>
      </w:rPr>
    </w:lvl>
    <w:lvl w:ilvl="1">
      <w:start w:val="1"/>
      <w:numFmt w:val="bullet"/>
      <w:lvlText w:val="o"/>
      <w:lvlJc w:val="left"/>
      <w:pPr>
        <w:tabs>
          <w:tab w:val="num" w:pos="1800"/>
        </w:tabs>
        <w:ind w:left="1800" w:hanging="360"/>
      </w:pPr>
      <w:rPr>
        <w:rFonts w:ascii="Courier New" w:hAnsi="Courier New" w:cs="Courier New" w:hint="default"/>
        <w:rFonts w:cs="Courier New"/>
      </w:rPr>
    </w:lvl>
    <w:lvl w:ilvl="2">
      <w:start w:val="1"/>
      <w:numFmt w:val="bullet"/>
      <w:lvlText w:val=""/>
      <w:lvlJc w:val="left"/>
      <w:pPr>
        <w:tabs>
          <w:tab w:val="num" w:pos="2520"/>
        </w:tabs>
        <w:ind w:left="2520" w:hanging="360"/>
      </w:pPr>
      <w:rPr>
        <w:rFonts w:ascii="Wingdings" w:hAnsi="Wingdings" w:cs="Wingdings" w:hint="default"/>
        <w:rFonts w:cs="Wingdings"/>
      </w:rPr>
    </w:lvl>
    <w:lvl w:ilvl="3">
      <w:start w:val="1"/>
      <w:numFmt w:val="bullet"/>
      <w:lvlText w:val=""/>
      <w:lvlJc w:val="left"/>
      <w:pPr>
        <w:tabs>
          <w:tab w:val="num" w:pos="3240"/>
        </w:tabs>
        <w:ind w:left="3240" w:hanging="360"/>
      </w:pPr>
      <w:rPr>
        <w:rFonts w:ascii="Symbol" w:hAnsi="Symbol" w:cs="Symbol" w:hint="default"/>
        <w:rFonts w:cs="Symbol"/>
      </w:rPr>
    </w:lvl>
    <w:lvl w:ilvl="4">
      <w:start w:val="1"/>
      <w:numFmt w:val="bullet"/>
      <w:lvlText w:val="o"/>
      <w:lvlJc w:val="left"/>
      <w:pPr>
        <w:tabs>
          <w:tab w:val="num" w:pos="3960"/>
        </w:tabs>
        <w:ind w:left="3960" w:hanging="360"/>
      </w:pPr>
      <w:rPr>
        <w:rFonts w:ascii="Courier New" w:hAnsi="Courier New" w:cs="Courier New" w:hint="default"/>
        <w:rFonts w:cs="Courier New"/>
      </w:rPr>
    </w:lvl>
    <w:lvl w:ilvl="5">
      <w:start w:val="1"/>
      <w:numFmt w:val="bullet"/>
      <w:lvlText w:val=""/>
      <w:lvlJc w:val="left"/>
      <w:pPr>
        <w:tabs>
          <w:tab w:val="num" w:pos="4680"/>
        </w:tabs>
        <w:ind w:left="4680" w:hanging="360"/>
      </w:pPr>
      <w:rPr>
        <w:rFonts w:ascii="Wingdings" w:hAnsi="Wingdings" w:cs="Wingdings" w:hint="default"/>
        <w:rFonts w:cs="Wingdings"/>
      </w:rPr>
    </w:lvl>
    <w:lvl w:ilvl="6">
      <w:start w:val="1"/>
      <w:numFmt w:val="bullet"/>
      <w:lvlText w:val=""/>
      <w:lvlJc w:val="left"/>
      <w:pPr>
        <w:tabs>
          <w:tab w:val="num" w:pos="5400"/>
        </w:tabs>
        <w:ind w:left="5400" w:hanging="360"/>
      </w:pPr>
      <w:rPr>
        <w:rFonts w:ascii="Symbol" w:hAnsi="Symbol" w:cs="Symbol" w:hint="default"/>
        <w:rFonts w:cs="Symbol"/>
      </w:rPr>
    </w:lvl>
    <w:lvl w:ilvl="7">
      <w:start w:val="1"/>
      <w:numFmt w:val="bullet"/>
      <w:lvlText w:val="o"/>
      <w:lvlJc w:val="left"/>
      <w:pPr>
        <w:tabs>
          <w:tab w:val="num" w:pos="6120"/>
        </w:tabs>
        <w:ind w:left="6120" w:hanging="360"/>
      </w:pPr>
      <w:rPr>
        <w:rFonts w:ascii="Courier New" w:hAnsi="Courier New" w:cs="Courier New" w:hint="default"/>
        <w:rFonts w:cs="Courier New"/>
      </w:rPr>
    </w:lvl>
    <w:lvl w:ilvl="8">
      <w:start w:val="1"/>
      <w:numFmt w:val="bullet"/>
      <w:lvlText w:val=""/>
      <w:lvlJc w:val="left"/>
      <w:pPr>
        <w:tabs>
          <w:tab w:val="num" w:pos="6840"/>
        </w:tabs>
        <w:ind w:left="6840" w:hanging="360"/>
      </w:pPr>
      <w:rPr>
        <w:rFonts w:ascii="Wingdings" w:hAnsi="Wingdings" w:cs="Wingdings" w:hint="default"/>
        <w:rFonts w:cs="Wingdings"/>
      </w:rPr>
    </w:lvl>
  </w:abstractNum>
  <w:abstractNum w:abstractNumId="35">
    <w:lvl w:ilvl="0">
      <w:start w:val="1"/>
      <w:numFmt w:val="bullet"/>
      <w:lvlText w:val=""/>
      <w:lvlJc w:val="left"/>
      <w:pPr>
        <w:tabs>
          <w:tab w:val="num" w:pos="1080"/>
        </w:tabs>
        <w:ind w:left="1080" w:hanging="360"/>
      </w:pPr>
      <w:rPr>
        <w:rFonts w:ascii="Symbol" w:hAnsi="Symbol" w:cs="Symbol" w:hint="default"/>
        <w:b/>
        <w:rFonts w:cs="Symbol"/>
      </w:rPr>
    </w:lvl>
    <w:lvl w:ilvl="1">
      <w:start w:val="1"/>
      <w:numFmt w:val="bullet"/>
      <w:lvlText w:val="o"/>
      <w:lvlJc w:val="left"/>
      <w:pPr>
        <w:tabs>
          <w:tab w:val="num" w:pos="1800"/>
        </w:tabs>
        <w:ind w:left="1800" w:hanging="360"/>
      </w:pPr>
      <w:rPr>
        <w:rFonts w:ascii="Courier New" w:hAnsi="Courier New" w:cs="Courier New" w:hint="default"/>
        <w:rFonts w:cs="Courier New"/>
      </w:rPr>
    </w:lvl>
    <w:lvl w:ilvl="2">
      <w:start w:val="1"/>
      <w:numFmt w:val="bullet"/>
      <w:lvlText w:val=""/>
      <w:lvlJc w:val="left"/>
      <w:pPr>
        <w:tabs>
          <w:tab w:val="num" w:pos="2520"/>
        </w:tabs>
        <w:ind w:left="2520" w:hanging="360"/>
      </w:pPr>
      <w:rPr>
        <w:rFonts w:ascii="Wingdings" w:hAnsi="Wingdings" w:cs="Wingdings" w:hint="default"/>
        <w:rFonts w:cs="Wingdings"/>
      </w:rPr>
    </w:lvl>
    <w:lvl w:ilvl="3">
      <w:start w:val="1"/>
      <w:numFmt w:val="bullet"/>
      <w:lvlText w:val=""/>
      <w:lvlJc w:val="left"/>
      <w:pPr>
        <w:tabs>
          <w:tab w:val="num" w:pos="3240"/>
        </w:tabs>
        <w:ind w:left="3240" w:hanging="360"/>
      </w:pPr>
      <w:rPr>
        <w:rFonts w:ascii="Symbol" w:hAnsi="Symbol" w:cs="Symbol" w:hint="default"/>
        <w:rFonts w:cs="Symbol"/>
      </w:rPr>
    </w:lvl>
    <w:lvl w:ilvl="4">
      <w:start w:val="1"/>
      <w:numFmt w:val="bullet"/>
      <w:lvlText w:val="o"/>
      <w:lvlJc w:val="left"/>
      <w:pPr>
        <w:tabs>
          <w:tab w:val="num" w:pos="3960"/>
        </w:tabs>
        <w:ind w:left="3960" w:hanging="360"/>
      </w:pPr>
      <w:rPr>
        <w:rFonts w:ascii="Courier New" w:hAnsi="Courier New" w:cs="Courier New" w:hint="default"/>
        <w:rFonts w:cs="Courier New"/>
      </w:rPr>
    </w:lvl>
    <w:lvl w:ilvl="5">
      <w:start w:val="1"/>
      <w:numFmt w:val="bullet"/>
      <w:lvlText w:val=""/>
      <w:lvlJc w:val="left"/>
      <w:pPr>
        <w:tabs>
          <w:tab w:val="num" w:pos="4680"/>
        </w:tabs>
        <w:ind w:left="4680" w:hanging="360"/>
      </w:pPr>
      <w:rPr>
        <w:rFonts w:ascii="Wingdings" w:hAnsi="Wingdings" w:cs="Wingdings" w:hint="default"/>
        <w:rFonts w:cs="Wingdings"/>
      </w:rPr>
    </w:lvl>
    <w:lvl w:ilvl="6">
      <w:start w:val="1"/>
      <w:numFmt w:val="bullet"/>
      <w:lvlText w:val=""/>
      <w:lvlJc w:val="left"/>
      <w:pPr>
        <w:tabs>
          <w:tab w:val="num" w:pos="5400"/>
        </w:tabs>
        <w:ind w:left="5400" w:hanging="360"/>
      </w:pPr>
      <w:rPr>
        <w:rFonts w:ascii="Symbol" w:hAnsi="Symbol" w:cs="Symbol" w:hint="default"/>
        <w:rFonts w:cs="Symbol"/>
      </w:rPr>
    </w:lvl>
    <w:lvl w:ilvl="7">
      <w:start w:val="1"/>
      <w:numFmt w:val="bullet"/>
      <w:lvlText w:val="o"/>
      <w:lvlJc w:val="left"/>
      <w:pPr>
        <w:tabs>
          <w:tab w:val="num" w:pos="6120"/>
        </w:tabs>
        <w:ind w:left="6120" w:hanging="360"/>
      </w:pPr>
      <w:rPr>
        <w:rFonts w:ascii="Courier New" w:hAnsi="Courier New" w:cs="Courier New" w:hint="default"/>
        <w:rFonts w:cs="Courier New"/>
      </w:rPr>
    </w:lvl>
    <w:lvl w:ilvl="8">
      <w:start w:val="1"/>
      <w:numFmt w:val="bullet"/>
      <w:lvlText w:val=""/>
      <w:lvlJc w:val="left"/>
      <w:pPr>
        <w:tabs>
          <w:tab w:val="num" w:pos="6840"/>
        </w:tabs>
        <w:ind w:left="6840" w:hanging="360"/>
      </w:pPr>
      <w:rPr>
        <w:rFonts w:ascii="Wingdings" w:hAnsi="Wingdings" w:cs="Wingdings" w:hint="default"/>
        <w:rFonts w:cs="Wingdings"/>
      </w:rPr>
    </w:lvl>
  </w:abstractNum>
  <w:abstractNum w:abstractNumId="36">
    <w:lvl w:ilvl="0">
      <w:start w:val="1"/>
      <w:numFmt w:val="bullet"/>
      <w:lvlText w:val=""/>
      <w:lvlJc w:val="left"/>
      <w:pPr>
        <w:tabs>
          <w:tab w:val="num" w:pos="720"/>
        </w:tabs>
        <w:ind w:left="720" w:hanging="360"/>
      </w:pPr>
      <w:rPr>
        <w:rFonts w:ascii="Symbol" w:hAnsi="Symbol" w:cs="Symbol" w:hint="default"/>
        <w:rFonts w:cs="Symbol"/>
      </w:rPr>
    </w:lvl>
    <w:lvl w:ilvl="1">
      <w:start w:val="1"/>
      <w:numFmt w:val="bullet"/>
      <w:lvlText w:val="o"/>
      <w:lvlJc w:val="left"/>
      <w:pPr>
        <w:tabs>
          <w:tab w:val="num" w:pos="1440"/>
        </w:tabs>
        <w:ind w:left="1440" w:hanging="360"/>
      </w:pPr>
      <w:rPr>
        <w:rFonts w:ascii="Courier New" w:hAnsi="Courier New" w:cs="Courier New" w:hint="default"/>
        <w:rFonts w:cs="Courier New"/>
      </w:rPr>
    </w:lvl>
    <w:lvl w:ilvl="2">
      <w:start w:val="1"/>
      <w:numFmt w:val="bullet"/>
      <w:lvlText w:val=""/>
      <w:lvlJc w:val="left"/>
      <w:pPr>
        <w:tabs>
          <w:tab w:val="num" w:pos="2160"/>
        </w:tabs>
        <w:ind w:left="2160" w:hanging="360"/>
      </w:pPr>
      <w:rPr>
        <w:rFonts w:ascii="Wingdings" w:hAnsi="Wingdings" w:cs="Wingdings" w:hint="default"/>
        <w:rFonts w:cs="Wingdings"/>
      </w:rPr>
    </w:lvl>
    <w:lvl w:ilvl="3">
      <w:start w:val="1"/>
      <w:numFmt w:val="bullet"/>
      <w:lvlText w:val=""/>
      <w:lvlJc w:val="left"/>
      <w:pPr>
        <w:tabs>
          <w:tab w:val="num" w:pos="2880"/>
        </w:tabs>
        <w:ind w:left="2880" w:hanging="360"/>
      </w:pPr>
      <w:rPr>
        <w:rFonts w:ascii="Symbol" w:hAnsi="Symbol" w:cs="Symbol" w:hint="default"/>
        <w:rFonts w:cs="Symbol"/>
      </w:rPr>
    </w:lvl>
    <w:lvl w:ilvl="4">
      <w:start w:val="1"/>
      <w:numFmt w:val="bullet"/>
      <w:lvlText w:val="o"/>
      <w:lvlJc w:val="left"/>
      <w:pPr>
        <w:tabs>
          <w:tab w:val="num" w:pos="3600"/>
        </w:tabs>
        <w:ind w:left="3600" w:hanging="360"/>
      </w:pPr>
      <w:rPr>
        <w:rFonts w:ascii="Courier New" w:hAnsi="Courier New" w:cs="Courier New" w:hint="default"/>
        <w:rFonts w:cs="Courier New"/>
      </w:rPr>
    </w:lvl>
    <w:lvl w:ilvl="5">
      <w:start w:val="1"/>
      <w:numFmt w:val="bullet"/>
      <w:lvlText w:val=""/>
      <w:lvlJc w:val="left"/>
      <w:pPr>
        <w:tabs>
          <w:tab w:val="num" w:pos="4320"/>
        </w:tabs>
        <w:ind w:left="4320" w:hanging="360"/>
      </w:pPr>
      <w:rPr>
        <w:rFonts w:ascii="Wingdings" w:hAnsi="Wingdings" w:cs="Wingdings" w:hint="default"/>
        <w:rFonts w:cs="Wingdings"/>
      </w:rPr>
    </w:lvl>
    <w:lvl w:ilvl="6">
      <w:start w:val="1"/>
      <w:numFmt w:val="bullet"/>
      <w:lvlText w:val=""/>
      <w:lvlJc w:val="left"/>
      <w:pPr>
        <w:tabs>
          <w:tab w:val="num" w:pos="5040"/>
        </w:tabs>
        <w:ind w:left="5040" w:hanging="360"/>
      </w:pPr>
      <w:rPr>
        <w:rFonts w:ascii="Symbol" w:hAnsi="Symbol" w:cs="Symbol" w:hint="default"/>
        <w:rFonts w:cs="Symbol"/>
      </w:rPr>
    </w:lvl>
    <w:lvl w:ilvl="7">
      <w:start w:val="1"/>
      <w:numFmt w:val="bullet"/>
      <w:lvlText w:val="o"/>
      <w:lvlJc w:val="left"/>
      <w:pPr>
        <w:tabs>
          <w:tab w:val="num" w:pos="5760"/>
        </w:tabs>
        <w:ind w:left="5760" w:hanging="360"/>
      </w:pPr>
      <w:rPr>
        <w:rFonts w:ascii="Courier New" w:hAnsi="Courier New" w:cs="Courier New" w:hint="default"/>
        <w:rFonts w:cs="Courier New"/>
      </w:rPr>
    </w:lvl>
    <w:lvl w:ilvl="8">
      <w:start w:val="1"/>
      <w:numFmt w:val="bullet"/>
      <w:lvlText w:val=""/>
      <w:lvlJc w:val="left"/>
      <w:pPr>
        <w:tabs>
          <w:tab w:val="num" w:pos="6480"/>
        </w:tabs>
        <w:ind w:left="6480" w:hanging="360"/>
      </w:pPr>
      <w:rPr>
        <w:rFonts w:ascii="Wingdings" w:hAnsi="Wingdings" w:cs="Wingdings" w:hint="default"/>
        <w:rFonts w:cs="Wingdings"/>
      </w:rPr>
    </w:lvl>
  </w:abstractNum>
  <w:abstractNum w:abstractNumId="37">
    <w:lvl w:ilvl="0">
      <w:start w:val="1"/>
      <w:numFmt w:val="decimal"/>
      <w:lvlText w:val="%1)"/>
      <w:lvlJc w:val="left"/>
      <w:pPr>
        <w:ind w:left="0" w:hanging="0"/>
      </w:pPr>
      <w:rPr>
        <w:rFonts w:ascii="Arial" w:hAnsi="Arial" w:cs="Aria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8">
    <w:lvl w:ilvl="0">
      <w:start w:val="1"/>
      <w:numFmt w:val="decimal"/>
      <w:lvlText w:val="%1)"/>
      <w:lvlJc w:val="left"/>
      <w:pPr>
        <w:ind w:left="0" w:hanging="0"/>
      </w:pPr>
      <w:rPr>
        <w:rFonts w:ascii="Arial" w:hAnsi="Arial" w:cs="Aria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9">
    <w:lvl w:ilvl="0">
      <w:start w:val="1"/>
      <w:numFmt w:val="lowerLetter"/>
      <w:lvlText w:val="%1)"/>
      <w:lvlJc w:val="left"/>
      <w:pPr>
        <w:tabs>
          <w:tab w:val="num" w:pos="1440"/>
        </w:tabs>
        <w:ind w:left="144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lvl w:ilvl="0">
      <w:start w:val="1"/>
      <w:numFmt w:val="bullet"/>
      <w:lvlText w:val=""/>
      <w:lvlJc w:val="left"/>
      <w:pPr>
        <w:ind w:left="720" w:hanging="360"/>
      </w:pPr>
      <w:rPr>
        <w:rFonts w:ascii="Symbol" w:hAnsi="Symbol" w:cs="Symbol" w:hint="default"/>
        <w:rFonts w:cs="Symbol"/>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42">
    <w:lvl w:ilvl="0">
      <w:start w:val="1"/>
      <w:numFmt w:val="bullet"/>
      <w:lvlText w:val=""/>
      <w:lvlJc w:val="left"/>
      <w:pPr>
        <w:ind w:left="720" w:hanging="360"/>
      </w:pPr>
      <w:rPr>
        <w:rFonts w:ascii="Wingdings" w:hAnsi="Wingdings" w:cs="Wingdings" w:hint="default"/>
        <w:rFonts w:cs="Wingdings"/>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43">
    <w:lvl w:ilvl="0">
      <w:start w:val="1"/>
      <w:numFmt w:val="bullet"/>
      <w:lvlText w:val=""/>
      <w:lvlJc w:val="left"/>
      <w:pPr>
        <w:ind w:left="1080" w:hanging="360"/>
      </w:pPr>
      <w:rPr>
        <w:rFonts w:ascii="Symbol" w:hAnsi="Symbol" w:cs="Symbol" w:hint="default"/>
        <w:rFonts w:cs="Symbol"/>
      </w:rPr>
    </w:lvl>
    <w:lvl w:ilvl="1">
      <w:start w:val="1"/>
      <w:numFmt w:val="bullet"/>
      <w:lvlText w:val="·"/>
      <w:lvlJc w:val="left"/>
      <w:pPr>
        <w:ind w:left="1800" w:hanging="360"/>
      </w:pPr>
      <w:rPr>
        <w:rFonts w:ascii="Arial" w:hAnsi="Arial" w:cs="Arial" w:hint="default"/>
        <w:rFonts w:cs="Arial"/>
      </w:rPr>
    </w:lvl>
    <w:lvl w:ilvl="2">
      <w:start w:val="1"/>
      <w:numFmt w:val="bullet"/>
      <w:lvlText w:val=""/>
      <w:lvlJc w:val="left"/>
      <w:pPr>
        <w:ind w:left="2520" w:hanging="360"/>
      </w:pPr>
      <w:rPr>
        <w:rFonts w:ascii="Wingdings" w:hAnsi="Wingdings" w:cs="Wingdings" w:hint="default"/>
        <w:rFonts w:cs="Wingdings"/>
      </w:rPr>
    </w:lvl>
    <w:lvl w:ilvl="3">
      <w:start w:val="1"/>
      <w:numFmt w:val="bullet"/>
      <w:lvlText w:val=""/>
      <w:lvlJc w:val="left"/>
      <w:pPr>
        <w:ind w:left="3240" w:hanging="360"/>
      </w:pPr>
      <w:rPr>
        <w:rFonts w:ascii="Symbol" w:hAnsi="Symbol" w:cs="Symbol" w:hint="default"/>
        <w:rFonts w:cs="Symbol"/>
      </w:rPr>
    </w:lvl>
    <w:lvl w:ilvl="4">
      <w:start w:val="1"/>
      <w:numFmt w:val="bullet"/>
      <w:lvlText w:val="o"/>
      <w:lvlJc w:val="left"/>
      <w:pPr>
        <w:ind w:left="3960" w:hanging="360"/>
      </w:pPr>
      <w:rPr>
        <w:rFonts w:ascii="Courier New" w:hAnsi="Courier New" w:cs="Courier New" w:hint="default"/>
        <w:rFonts w:cs="Courier New"/>
      </w:rPr>
    </w:lvl>
    <w:lvl w:ilvl="5">
      <w:start w:val="1"/>
      <w:numFmt w:val="bullet"/>
      <w:lvlText w:val=""/>
      <w:lvlJc w:val="left"/>
      <w:pPr>
        <w:ind w:left="4680" w:hanging="360"/>
      </w:pPr>
      <w:rPr>
        <w:rFonts w:ascii="Wingdings" w:hAnsi="Wingdings" w:cs="Wingdings" w:hint="default"/>
        <w:rFonts w:cs="Wingdings"/>
      </w:rPr>
    </w:lvl>
    <w:lvl w:ilvl="6">
      <w:start w:val="1"/>
      <w:numFmt w:val="bullet"/>
      <w:lvlText w:val=""/>
      <w:lvlJc w:val="left"/>
      <w:pPr>
        <w:ind w:left="5400" w:hanging="360"/>
      </w:pPr>
      <w:rPr>
        <w:rFonts w:ascii="Symbol" w:hAnsi="Symbol" w:cs="Symbol" w:hint="default"/>
        <w:rFonts w:cs="Symbol"/>
      </w:rPr>
    </w:lvl>
    <w:lvl w:ilvl="7">
      <w:start w:val="1"/>
      <w:numFmt w:val="bullet"/>
      <w:lvlText w:val="o"/>
      <w:lvlJc w:val="left"/>
      <w:pPr>
        <w:ind w:left="6120" w:hanging="360"/>
      </w:pPr>
      <w:rPr>
        <w:rFonts w:ascii="Courier New" w:hAnsi="Courier New" w:cs="Courier New" w:hint="default"/>
        <w:rFonts w:cs="Courier New"/>
      </w:rPr>
    </w:lvl>
    <w:lvl w:ilvl="8">
      <w:start w:val="1"/>
      <w:numFmt w:val="bullet"/>
      <w:lvlText w:val=""/>
      <w:lvlJc w:val="left"/>
      <w:pPr>
        <w:ind w:left="6840" w:hanging="360"/>
      </w:pPr>
      <w:rPr>
        <w:rFonts w:ascii="Wingdings" w:hAnsi="Wingdings" w:cs="Wingdings" w:hint="default"/>
        <w:rFonts w:cs="Wingdings"/>
      </w:rPr>
    </w:lvl>
  </w:abstractNum>
  <w:abstractNum w:abstractNumId="44">
    <w:lvl w:ilvl="0">
      <w:start w:val="1"/>
      <w:numFmt w:val="bullet"/>
      <w:lvlText w:val=""/>
      <w:lvlJc w:val="left"/>
      <w:pPr>
        <w:ind w:left="1080" w:hanging="360"/>
      </w:pPr>
      <w:rPr>
        <w:rFonts w:ascii="Wingdings" w:hAnsi="Wingdings" w:cs="Wingdings" w:hint="default"/>
        <w:rFonts w:cs="Wingdings"/>
      </w:rPr>
    </w:lvl>
    <w:lvl w:ilvl="1">
      <w:start w:val="1"/>
      <w:numFmt w:val="bullet"/>
      <w:lvlText w:val="o"/>
      <w:lvlJc w:val="left"/>
      <w:pPr>
        <w:ind w:left="1800" w:hanging="360"/>
      </w:pPr>
      <w:rPr>
        <w:rFonts w:ascii="Courier New" w:hAnsi="Courier New" w:cs="Courier New" w:hint="default"/>
        <w:rFonts w:cs="Courier New"/>
      </w:rPr>
    </w:lvl>
    <w:lvl w:ilvl="2">
      <w:start w:val="1"/>
      <w:numFmt w:val="bullet"/>
      <w:lvlText w:val=""/>
      <w:lvlJc w:val="left"/>
      <w:pPr>
        <w:ind w:left="2520" w:hanging="360"/>
      </w:pPr>
      <w:rPr>
        <w:rFonts w:ascii="Wingdings" w:hAnsi="Wingdings" w:cs="Wingdings" w:hint="default"/>
        <w:rFonts w:cs="Wingdings"/>
      </w:rPr>
    </w:lvl>
    <w:lvl w:ilvl="3">
      <w:start w:val="1"/>
      <w:numFmt w:val="bullet"/>
      <w:lvlText w:val=""/>
      <w:lvlJc w:val="left"/>
      <w:pPr>
        <w:ind w:left="3240" w:hanging="360"/>
      </w:pPr>
      <w:rPr>
        <w:rFonts w:ascii="Symbol" w:hAnsi="Symbol" w:cs="Symbol" w:hint="default"/>
        <w:rFonts w:cs="Symbol"/>
      </w:rPr>
    </w:lvl>
    <w:lvl w:ilvl="4">
      <w:start w:val="1"/>
      <w:numFmt w:val="bullet"/>
      <w:lvlText w:val="o"/>
      <w:lvlJc w:val="left"/>
      <w:pPr>
        <w:ind w:left="3960" w:hanging="360"/>
      </w:pPr>
      <w:rPr>
        <w:rFonts w:ascii="Courier New" w:hAnsi="Courier New" w:cs="Courier New" w:hint="default"/>
        <w:rFonts w:cs="Courier New"/>
      </w:rPr>
    </w:lvl>
    <w:lvl w:ilvl="5">
      <w:start w:val="1"/>
      <w:numFmt w:val="bullet"/>
      <w:lvlText w:val=""/>
      <w:lvlJc w:val="left"/>
      <w:pPr>
        <w:ind w:left="4680" w:hanging="360"/>
      </w:pPr>
      <w:rPr>
        <w:rFonts w:ascii="Wingdings" w:hAnsi="Wingdings" w:cs="Wingdings" w:hint="default"/>
        <w:rFonts w:cs="Wingdings"/>
      </w:rPr>
    </w:lvl>
    <w:lvl w:ilvl="6">
      <w:start w:val="1"/>
      <w:numFmt w:val="bullet"/>
      <w:lvlText w:val=""/>
      <w:lvlJc w:val="left"/>
      <w:pPr>
        <w:ind w:left="5400" w:hanging="360"/>
      </w:pPr>
      <w:rPr>
        <w:rFonts w:ascii="Symbol" w:hAnsi="Symbol" w:cs="Symbol" w:hint="default"/>
        <w:rFonts w:cs="Symbol"/>
      </w:rPr>
    </w:lvl>
    <w:lvl w:ilvl="7">
      <w:start w:val="1"/>
      <w:numFmt w:val="bullet"/>
      <w:lvlText w:val="o"/>
      <w:lvlJc w:val="left"/>
      <w:pPr>
        <w:ind w:left="6120" w:hanging="360"/>
      </w:pPr>
      <w:rPr>
        <w:rFonts w:ascii="Courier New" w:hAnsi="Courier New" w:cs="Courier New" w:hint="default"/>
        <w:rFonts w:cs="Courier New"/>
      </w:rPr>
    </w:lvl>
    <w:lvl w:ilvl="8">
      <w:start w:val="1"/>
      <w:numFmt w:val="bullet"/>
      <w:lvlText w:val=""/>
      <w:lvlJc w:val="left"/>
      <w:pPr>
        <w:ind w:left="6840" w:hanging="360"/>
      </w:pPr>
      <w:rPr>
        <w:rFonts w:ascii="Wingdings" w:hAnsi="Wingdings" w:cs="Wingdings" w:hint="default"/>
        <w:rFonts w:cs="Wingdings"/>
      </w:rPr>
    </w:lvl>
  </w:abstractNum>
  <w:abstractNum w:abstractNumId="45">
    <w:lvl w:ilvl="0">
      <w:start w:val="1"/>
      <w:numFmt w:val="decimal"/>
      <w:lvlText w:val="%1)"/>
      <w:lvlJc w:val="left"/>
      <w:pPr>
        <w:ind w:left="0" w:hanging="0"/>
      </w:pPr>
      <w:rPr>
        <w:rFonts w:ascii="Arial" w:hAnsi="Arial" w:cs="Aria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6">
    <w:lvl w:ilvl="0">
      <w:start w:val="1"/>
      <w:numFmt w:val="bullet"/>
      <w:lvlText w:val="-"/>
      <w:lvlJc w:val="left"/>
      <w:pPr>
        <w:ind w:left="0" w:hanging="0"/>
      </w:pPr>
      <w:rPr>
        <w:rFonts w:ascii="Times New Roman" w:hAnsi="Times New Roman" w:cs="Times New Roman" w:hint="default"/>
        <w:rFonts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7">
    <w:lvl w:ilvl="0">
      <w:start w:val="1"/>
      <w:numFmt w:val="decimal"/>
      <w:lvlText w:val="%1."/>
      <w:lvlJc w:val="left"/>
      <w:pPr>
        <w:ind w:left="0" w:hanging="0"/>
      </w:pPr>
      <w:rPr>
        <w:sz w:val="22"/>
        <w:rFonts w:ascii="Arial" w:hAnsi="Arial" w:cs="Aria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8">
    <w:lvl w:ilvl="0">
      <w:start w:val="1"/>
      <w:numFmt w:val="decimal"/>
      <w:lvlText w:val="%1."/>
      <w:lvlJc w:val="left"/>
      <w:pPr>
        <w:ind w:left="0" w:hanging="0"/>
      </w:pPr>
      <w:rPr>
        <w:sz w:val="22"/>
        <w:rFonts w:ascii="Arial" w:hAnsi="Arial" w:cs="Aria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9">
    <w:lvl w:ilvl="0">
      <w:start w:val="1"/>
      <w:numFmt w:val="bullet"/>
      <w:lvlText w:val=""/>
      <w:lvlJc w:val="left"/>
      <w:pPr>
        <w:ind w:left="1146" w:hanging="360"/>
      </w:pPr>
      <w:rPr>
        <w:rFonts w:ascii="Symbol" w:hAnsi="Symbol" w:cs="Symbol" w:hint="default"/>
        <w:rFonts w:cs="Symbol"/>
      </w:rPr>
    </w:lvl>
    <w:lvl w:ilvl="1">
      <w:start w:val="1"/>
      <w:numFmt w:val="bullet"/>
      <w:lvlText w:val="o"/>
      <w:lvlJc w:val="left"/>
      <w:pPr>
        <w:ind w:left="1866" w:hanging="360"/>
      </w:pPr>
      <w:rPr>
        <w:rFonts w:ascii="Courier New" w:hAnsi="Courier New" w:cs="Courier New" w:hint="default"/>
        <w:rFonts w:cs="Courier New"/>
      </w:rPr>
    </w:lvl>
    <w:lvl w:ilvl="2">
      <w:start w:val="1"/>
      <w:numFmt w:val="bullet"/>
      <w:lvlText w:val=""/>
      <w:lvlJc w:val="left"/>
      <w:pPr>
        <w:ind w:left="2586" w:hanging="360"/>
      </w:pPr>
      <w:rPr>
        <w:rFonts w:ascii="Wingdings" w:hAnsi="Wingdings" w:cs="Wingdings" w:hint="default"/>
        <w:rFonts w:cs="Wingdings"/>
      </w:rPr>
    </w:lvl>
    <w:lvl w:ilvl="3">
      <w:start w:val="1"/>
      <w:numFmt w:val="bullet"/>
      <w:lvlText w:val=""/>
      <w:lvlJc w:val="left"/>
      <w:pPr>
        <w:ind w:left="3306" w:hanging="360"/>
      </w:pPr>
      <w:rPr>
        <w:rFonts w:ascii="Symbol" w:hAnsi="Symbol" w:cs="Symbol" w:hint="default"/>
        <w:rFonts w:cs="Symbol"/>
      </w:rPr>
    </w:lvl>
    <w:lvl w:ilvl="4">
      <w:start w:val="1"/>
      <w:numFmt w:val="bullet"/>
      <w:lvlText w:val="o"/>
      <w:lvlJc w:val="left"/>
      <w:pPr>
        <w:ind w:left="4026" w:hanging="360"/>
      </w:pPr>
      <w:rPr>
        <w:rFonts w:ascii="Courier New" w:hAnsi="Courier New" w:cs="Courier New" w:hint="default"/>
        <w:rFonts w:cs="Courier New"/>
      </w:rPr>
    </w:lvl>
    <w:lvl w:ilvl="5">
      <w:start w:val="1"/>
      <w:numFmt w:val="bullet"/>
      <w:lvlText w:val=""/>
      <w:lvlJc w:val="left"/>
      <w:pPr>
        <w:ind w:left="4746" w:hanging="360"/>
      </w:pPr>
      <w:rPr>
        <w:rFonts w:ascii="Wingdings" w:hAnsi="Wingdings" w:cs="Wingdings" w:hint="default"/>
        <w:rFonts w:cs="Wingdings"/>
      </w:rPr>
    </w:lvl>
    <w:lvl w:ilvl="6">
      <w:start w:val="1"/>
      <w:numFmt w:val="bullet"/>
      <w:lvlText w:val=""/>
      <w:lvlJc w:val="left"/>
      <w:pPr>
        <w:ind w:left="5466" w:hanging="360"/>
      </w:pPr>
      <w:rPr>
        <w:rFonts w:ascii="Symbol" w:hAnsi="Symbol" w:cs="Symbol" w:hint="default"/>
        <w:rFonts w:cs="Symbol"/>
      </w:rPr>
    </w:lvl>
    <w:lvl w:ilvl="7">
      <w:start w:val="1"/>
      <w:numFmt w:val="bullet"/>
      <w:lvlText w:val="o"/>
      <w:lvlJc w:val="left"/>
      <w:pPr>
        <w:ind w:left="6186" w:hanging="360"/>
      </w:pPr>
      <w:rPr>
        <w:rFonts w:ascii="Courier New" w:hAnsi="Courier New" w:cs="Courier New" w:hint="default"/>
        <w:rFonts w:cs="Courier New"/>
      </w:rPr>
    </w:lvl>
    <w:lvl w:ilvl="8">
      <w:start w:val="1"/>
      <w:numFmt w:val="bullet"/>
      <w:lvlText w:val=""/>
      <w:lvlJc w:val="left"/>
      <w:pPr>
        <w:ind w:left="6906" w:hanging="360"/>
      </w:pPr>
      <w:rPr>
        <w:rFonts w:ascii="Wingdings" w:hAnsi="Wingdings" w:cs="Wingdings" w:hint="default"/>
        <w:rFonts w:cs="Wingdings"/>
      </w:rPr>
    </w:lvl>
  </w:abstractNum>
  <w:abstractNum w:abstractNumId="50">
    <w:lvl w:ilvl="0">
      <w:start w:val="1"/>
      <w:numFmt w:val="bullet"/>
      <w:lvlText w:val=""/>
      <w:lvlJc w:val="left"/>
      <w:pPr>
        <w:tabs>
          <w:tab w:val="num" w:pos="360"/>
        </w:tabs>
        <w:ind w:left="360" w:hanging="360"/>
      </w:pPr>
      <w:rPr>
        <w:rFonts w:ascii="Symbol" w:hAnsi="Symbol" w:cs="Symbol" w:hint="default"/>
        <w:rFonts w:cs="Symbol"/>
      </w:rPr>
    </w:lvl>
    <w:lvl w:ilvl="1">
      <w:start w:val="1"/>
      <w:numFmt w:val="bullet"/>
      <w:lvlText w:val="o"/>
      <w:lvlJc w:val="left"/>
      <w:pPr>
        <w:tabs>
          <w:tab w:val="num" w:pos="1080"/>
        </w:tabs>
        <w:ind w:left="1080" w:hanging="360"/>
      </w:pPr>
      <w:rPr>
        <w:rFonts w:ascii="Courier New" w:hAnsi="Courier New" w:cs="Courier New" w:hint="default"/>
        <w:rFonts w:cs="Courier New"/>
      </w:rPr>
    </w:lvl>
    <w:lvl w:ilvl="2">
      <w:start w:val="1"/>
      <w:numFmt w:val="bullet"/>
      <w:lvlText w:val=""/>
      <w:lvlJc w:val="left"/>
      <w:pPr>
        <w:tabs>
          <w:tab w:val="num" w:pos="1800"/>
        </w:tabs>
        <w:ind w:left="1800" w:hanging="360"/>
      </w:pPr>
      <w:rPr>
        <w:rFonts w:ascii="Wingdings" w:hAnsi="Wingdings" w:cs="Wingdings" w:hint="default"/>
        <w:rFonts w:cs="Wingdings"/>
      </w:rPr>
    </w:lvl>
    <w:lvl w:ilvl="3">
      <w:start w:val="1"/>
      <w:numFmt w:val="bullet"/>
      <w:lvlText w:val=""/>
      <w:lvlJc w:val="left"/>
      <w:pPr>
        <w:tabs>
          <w:tab w:val="num" w:pos="2520"/>
        </w:tabs>
        <w:ind w:left="2520" w:hanging="360"/>
      </w:pPr>
      <w:rPr>
        <w:rFonts w:ascii="Symbol" w:hAnsi="Symbol" w:cs="Symbol" w:hint="default"/>
        <w:rFonts w:cs="Symbol"/>
      </w:rPr>
    </w:lvl>
    <w:lvl w:ilvl="4">
      <w:start w:val="1"/>
      <w:numFmt w:val="bullet"/>
      <w:lvlText w:val="o"/>
      <w:lvlJc w:val="left"/>
      <w:pPr>
        <w:tabs>
          <w:tab w:val="num" w:pos="3240"/>
        </w:tabs>
        <w:ind w:left="3240" w:hanging="360"/>
      </w:pPr>
      <w:rPr>
        <w:rFonts w:ascii="Courier New" w:hAnsi="Courier New" w:cs="Courier New" w:hint="default"/>
        <w:rFonts w:cs="Courier New"/>
      </w:rPr>
    </w:lvl>
    <w:lvl w:ilvl="5">
      <w:start w:val="1"/>
      <w:numFmt w:val="bullet"/>
      <w:lvlText w:val=""/>
      <w:lvlJc w:val="left"/>
      <w:pPr>
        <w:tabs>
          <w:tab w:val="num" w:pos="3960"/>
        </w:tabs>
        <w:ind w:left="3960" w:hanging="360"/>
      </w:pPr>
      <w:rPr>
        <w:rFonts w:ascii="Wingdings" w:hAnsi="Wingdings" w:cs="Wingdings" w:hint="default"/>
        <w:rFonts w:cs="Wingdings"/>
      </w:rPr>
    </w:lvl>
    <w:lvl w:ilvl="6">
      <w:start w:val="1"/>
      <w:numFmt w:val="bullet"/>
      <w:lvlText w:val=""/>
      <w:lvlJc w:val="left"/>
      <w:pPr>
        <w:tabs>
          <w:tab w:val="num" w:pos="4680"/>
        </w:tabs>
        <w:ind w:left="4680" w:hanging="360"/>
      </w:pPr>
      <w:rPr>
        <w:rFonts w:ascii="Symbol" w:hAnsi="Symbol" w:cs="Symbol" w:hint="default"/>
        <w:rFonts w:cs="Symbol"/>
      </w:rPr>
    </w:lvl>
    <w:lvl w:ilvl="7">
      <w:start w:val="1"/>
      <w:numFmt w:val="bullet"/>
      <w:lvlText w:val="o"/>
      <w:lvlJc w:val="left"/>
      <w:pPr>
        <w:tabs>
          <w:tab w:val="num" w:pos="5400"/>
        </w:tabs>
        <w:ind w:left="5400" w:hanging="360"/>
      </w:pPr>
      <w:rPr>
        <w:rFonts w:ascii="Courier New" w:hAnsi="Courier New" w:cs="Courier New" w:hint="default"/>
        <w:rFonts w:cs="Courier New"/>
      </w:rPr>
    </w:lvl>
    <w:lvl w:ilvl="8">
      <w:start w:val="1"/>
      <w:numFmt w:val="bullet"/>
      <w:lvlText w:val=""/>
      <w:lvlJc w:val="left"/>
      <w:pPr>
        <w:tabs>
          <w:tab w:val="num" w:pos="6120"/>
        </w:tabs>
        <w:ind w:left="6120" w:hanging="360"/>
      </w:pPr>
      <w:rPr>
        <w:rFonts w:ascii="Wingdings" w:hAnsi="Wingdings" w:cs="Wingdings" w:hint="default"/>
        <w:rFonts w:cs="Wingdings"/>
      </w:rPr>
    </w:lvl>
  </w:abstractNum>
  <w:abstractNum w:abstractNumId="51">
    <w:lvl w:ilvl="0">
      <w:start w:val="1"/>
      <w:numFmt w:val="bullet"/>
      <w:lvlText w:val=""/>
      <w:lvlJc w:val="left"/>
      <w:pPr>
        <w:tabs>
          <w:tab w:val="num" w:pos="360"/>
        </w:tabs>
        <w:ind w:left="360" w:hanging="360"/>
      </w:pPr>
      <w:rPr>
        <w:rFonts w:ascii="Symbol" w:hAnsi="Symbol" w:cs="Symbol" w:hint="default"/>
        <w:rFonts w:cs="Symbol"/>
      </w:rPr>
    </w:lvl>
    <w:lvl w:ilvl="1">
      <w:start w:val="1"/>
      <w:numFmt w:val="bullet"/>
      <w:lvlText w:val="o"/>
      <w:lvlJc w:val="left"/>
      <w:pPr>
        <w:tabs>
          <w:tab w:val="num" w:pos="1080"/>
        </w:tabs>
        <w:ind w:left="1080" w:hanging="360"/>
      </w:pPr>
      <w:rPr>
        <w:rFonts w:ascii="Courier New" w:hAnsi="Courier New" w:cs="Courier New" w:hint="default"/>
        <w:rFonts w:cs="Courier New"/>
      </w:rPr>
    </w:lvl>
    <w:lvl w:ilvl="2">
      <w:start w:val="1"/>
      <w:numFmt w:val="bullet"/>
      <w:lvlText w:val=""/>
      <w:lvlJc w:val="left"/>
      <w:pPr>
        <w:tabs>
          <w:tab w:val="num" w:pos="1800"/>
        </w:tabs>
        <w:ind w:left="1800" w:hanging="360"/>
      </w:pPr>
      <w:rPr>
        <w:rFonts w:ascii="Wingdings" w:hAnsi="Wingdings" w:cs="Wingdings" w:hint="default"/>
        <w:rFonts w:cs="Wingdings"/>
      </w:rPr>
    </w:lvl>
    <w:lvl w:ilvl="3">
      <w:start w:val="1"/>
      <w:numFmt w:val="bullet"/>
      <w:lvlText w:val=""/>
      <w:lvlJc w:val="left"/>
      <w:pPr>
        <w:tabs>
          <w:tab w:val="num" w:pos="2520"/>
        </w:tabs>
        <w:ind w:left="2520" w:hanging="360"/>
      </w:pPr>
      <w:rPr>
        <w:rFonts w:ascii="Symbol" w:hAnsi="Symbol" w:cs="Symbol" w:hint="default"/>
        <w:rFonts w:cs="Symbol"/>
      </w:rPr>
    </w:lvl>
    <w:lvl w:ilvl="4">
      <w:start w:val="1"/>
      <w:numFmt w:val="bullet"/>
      <w:lvlText w:val="o"/>
      <w:lvlJc w:val="left"/>
      <w:pPr>
        <w:tabs>
          <w:tab w:val="num" w:pos="3240"/>
        </w:tabs>
        <w:ind w:left="3240" w:hanging="360"/>
      </w:pPr>
      <w:rPr>
        <w:rFonts w:ascii="Courier New" w:hAnsi="Courier New" w:cs="Courier New" w:hint="default"/>
        <w:rFonts w:cs="Courier New"/>
      </w:rPr>
    </w:lvl>
    <w:lvl w:ilvl="5">
      <w:start w:val="1"/>
      <w:numFmt w:val="bullet"/>
      <w:lvlText w:val=""/>
      <w:lvlJc w:val="left"/>
      <w:pPr>
        <w:tabs>
          <w:tab w:val="num" w:pos="3960"/>
        </w:tabs>
        <w:ind w:left="3960" w:hanging="360"/>
      </w:pPr>
      <w:rPr>
        <w:rFonts w:ascii="Wingdings" w:hAnsi="Wingdings" w:cs="Wingdings" w:hint="default"/>
        <w:rFonts w:cs="Wingdings"/>
      </w:rPr>
    </w:lvl>
    <w:lvl w:ilvl="6">
      <w:start w:val="1"/>
      <w:numFmt w:val="bullet"/>
      <w:lvlText w:val=""/>
      <w:lvlJc w:val="left"/>
      <w:pPr>
        <w:tabs>
          <w:tab w:val="num" w:pos="4680"/>
        </w:tabs>
        <w:ind w:left="4680" w:hanging="360"/>
      </w:pPr>
      <w:rPr>
        <w:rFonts w:ascii="Symbol" w:hAnsi="Symbol" w:cs="Symbol" w:hint="default"/>
        <w:rFonts w:cs="Symbol"/>
      </w:rPr>
    </w:lvl>
    <w:lvl w:ilvl="7">
      <w:start w:val="1"/>
      <w:numFmt w:val="bullet"/>
      <w:lvlText w:val="o"/>
      <w:lvlJc w:val="left"/>
      <w:pPr>
        <w:tabs>
          <w:tab w:val="num" w:pos="5400"/>
        </w:tabs>
        <w:ind w:left="5400" w:hanging="360"/>
      </w:pPr>
      <w:rPr>
        <w:rFonts w:ascii="Courier New" w:hAnsi="Courier New" w:cs="Courier New" w:hint="default"/>
        <w:rFonts w:cs="Courier New"/>
      </w:rPr>
    </w:lvl>
    <w:lvl w:ilvl="8">
      <w:start w:val="1"/>
      <w:numFmt w:val="bullet"/>
      <w:lvlText w:val=""/>
      <w:lvlJc w:val="left"/>
      <w:pPr>
        <w:tabs>
          <w:tab w:val="num" w:pos="6120"/>
        </w:tabs>
        <w:ind w:left="6120" w:hanging="360"/>
      </w:pPr>
      <w:rPr>
        <w:rFonts w:ascii="Wingdings" w:hAnsi="Wingdings" w:cs="Wingdings" w:hint="default"/>
        <w:rFonts w:cs="Wingdings"/>
      </w:rPr>
    </w:lvl>
  </w:abstractNum>
  <w:abstractNum w:abstractNumId="52">
    <w:lvl w:ilvl="0">
      <w:start w:val="1"/>
      <w:numFmt w:val="bullet"/>
      <w:lvlText w:val=""/>
      <w:lvlJc w:val="left"/>
      <w:pPr>
        <w:tabs>
          <w:tab w:val="num" w:pos="360"/>
        </w:tabs>
        <w:ind w:left="360" w:hanging="360"/>
      </w:pPr>
      <w:rPr>
        <w:rFonts w:ascii="Symbol" w:hAnsi="Symbol" w:cs="Symbol" w:hint="default"/>
        <w:b w:val="false"/>
        <w:rFonts w:cs="Symbol"/>
      </w:rPr>
    </w:lvl>
    <w:lvl w:ilvl="1">
      <w:start w:val="1"/>
      <w:numFmt w:val="bullet"/>
      <w:lvlText w:val="o"/>
      <w:lvlJc w:val="left"/>
      <w:pPr>
        <w:tabs>
          <w:tab w:val="num" w:pos="1080"/>
        </w:tabs>
        <w:ind w:left="1080" w:hanging="360"/>
      </w:pPr>
      <w:rPr>
        <w:rFonts w:ascii="Courier New" w:hAnsi="Courier New" w:cs="Courier New" w:hint="default"/>
        <w:rFonts w:cs="Courier New"/>
      </w:rPr>
    </w:lvl>
    <w:lvl w:ilvl="2">
      <w:start w:val="1"/>
      <w:numFmt w:val="bullet"/>
      <w:lvlText w:val=""/>
      <w:lvlJc w:val="left"/>
      <w:pPr>
        <w:tabs>
          <w:tab w:val="num" w:pos="1800"/>
        </w:tabs>
        <w:ind w:left="1800" w:hanging="360"/>
      </w:pPr>
      <w:rPr>
        <w:rFonts w:ascii="Wingdings" w:hAnsi="Wingdings" w:cs="Wingdings" w:hint="default"/>
        <w:rFonts w:cs="Wingdings"/>
      </w:rPr>
    </w:lvl>
    <w:lvl w:ilvl="3">
      <w:start w:val="1"/>
      <w:numFmt w:val="bullet"/>
      <w:lvlText w:val=""/>
      <w:lvlJc w:val="left"/>
      <w:pPr>
        <w:tabs>
          <w:tab w:val="num" w:pos="2520"/>
        </w:tabs>
        <w:ind w:left="2520" w:hanging="360"/>
      </w:pPr>
      <w:rPr>
        <w:rFonts w:ascii="Symbol" w:hAnsi="Symbol" w:cs="Symbol" w:hint="default"/>
        <w:rFonts w:cs="Symbol"/>
      </w:rPr>
    </w:lvl>
    <w:lvl w:ilvl="4">
      <w:start w:val="1"/>
      <w:numFmt w:val="bullet"/>
      <w:lvlText w:val="o"/>
      <w:lvlJc w:val="left"/>
      <w:pPr>
        <w:tabs>
          <w:tab w:val="num" w:pos="3240"/>
        </w:tabs>
        <w:ind w:left="3240" w:hanging="360"/>
      </w:pPr>
      <w:rPr>
        <w:rFonts w:ascii="Courier New" w:hAnsi="Courier New" w:cs="Courier New" w:hint="default"/>
        <w:rFonts w:cs="Courier New"/>
      </w:rPr>
    </w:lvl>
    <w:lvl w:ilvl="5">
      <w:start w:val="1"/>
      <w:numFmt w:val="bullet"/>
      <w:lvlText w:val=""/>
      <w:lvlJc w:val="left"/>
      <w:pPr>
        <w:tabs>
          <w:tab w:val="num" w:pos="3960"/>
        </w:tabs>
        <w:ind w:left="3960" w:hanging="360"/>
      </w:pPr>
      <w:rPr>
        <w:rFonts w:ascii="Wingdings" w:hAnsi="Wingdings" w:cs="Wingdings" w:hint="default"/>
        <w:rFonts w:cs="Wingdings"/>
      </w:rPr>
    </w:lvl>
    <w:lvl w:ilvl="6">
      <w:start w:val="1"/>
      <w:numFmt w:val="bullet"/>
      <w:lvlText w:val=""/>
      <w:lvlJc w:val="left"/>
      <w:pPr>
        <w:tabs>
          <w:tab w:val="num" w:pos="4680"/>
        </w:tabs>
        <w:ind w:left="4680" w:hanging="360"/>
      </w:pPr>
      <w:rPr>
        <w:rFonts w:ascii="Symbol" w:hAnsi="Symbol" w:cs="Symbol" w:hint="default"/>
        <w:rFonts w:cs="Symbol"/>
      </w:rPr>
    </w:lvl>
    <w:lvl w:ilvl="7">
      <w:start w:val="1"/>
      <w:numFmt w:val="bullet"/>
      <w:lvlText w:val="o"/>
      <w:lvlJc w:val="left"/>
      <w:pPr>
        <w:tabs>
          <w:tab w:val="num" w:pos="5400"/>
        </w:tabs>
        <w:ind w:left="5400" w:hanging="360"/>
      </w:pPr>
      <w:rPr>
        <w:rFonts w:ascii="Courier New" w:hAnsi="Courier New" w:cs="Courier New" w:hint="default"/>
        <w:rFonts w:cs="Courier New"/>
      </w:rPr>
    </w:lvl>
    <w:lvl w:ilvl="8">
      <w:start w:val="1"/>
      <w:numFmt w:val="bullet"/>
      <w:lvlText w:val=""/>
      <w:lvlJc w:val="left"/>
      <w:pPr>
        <w:tabs>
          <w:tab w:val="num" w:pos="6120"/>
        </w:tabs>
        <w:ind w:left="6120" w:hanging="360"/>
      </w:pPr>
      <w:rPr>
        <w:rFonts w:ascii="Wingdings" w:hAnsi="Wingdings" w:cs="Wingdings" w:hint="default"/>
        <w:rFonts w:cs="Wingdings"/>
      </w:rPr>
    </w:lvl>
  </w:abstractNum>
  <w:abstractNum w:abstractNumId="53">
    <w:lvl w:ilvl="0">
      <w:start w:val="1"/>
      <w:numFmt w:val="bullet"/>
      <w:lvlText w:val=""/>
      <w:lvlJc w:val="left"/>
      <w:pPr>
        <w:ind w:left="720" w:hanging="360"/>
      </w:pPr>
      <w:rPr>
        <w:rFonts w:ascii="Symbol" w:hAnsi="Symbol" w:cs="Symbol" w:hint="default"/>
        <w:rFonts w:cs="Symbol"/>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54">
    <w:lvl w:ilvl="0">
      <w:start w:val="1"/>
      <w:numFmt w:val="bullet"/>
      <w:lvlText w:val=""/>
      <w:lvlJc w:val="left"/>
      <w:pPr>
        <w:ind w:left="1287" w:hanging="360"/>
      </w:pPr>
      <w:rPr>
        <w:rFonts w:ascii="Symbol" w:hAnsi="Symbol" w:cs="Symbol" w:hint="default"/>
        <w:rFonts w:cs="Symbol"/>
      </w:rPr>
    </w:lvl>
    <w:lvl w:ilvl="1">
      <w:start w:val="1"/>
      <w:numFmt w:val="bullet"/>
      <w:lvlText w:val="o"/>
      <w:lvlJc w:val="left"/>
      <w:pPr>
        <w:ind w:left="2007" w:hanging="360"/>
      </w:pPr>
      <w:rPr>
        <w:rFonts w:ascii="Courier New" w:hAnsi="Courier New" w:cs="Courier New" w:hint="default"/>
        <w:rFonts w:cs="Courier New"/>
      </w:rPr>
    </w:lvl>
    <w:lvl w:ilvl="2">
      <w:start w:val="1"/>
      <w:numFmt w:val="bullet"/>
      <w:lvlText w:val=""/>
      <w:lvlJc w:val="left"/>
      <w:pPr>
        <w:ind w:left="2727" w:hanging="360"/>
      </w:pPr>
      <w:rPr>
        <w:rFonts w:ascii="Wingdings" w:hAnsi="Wingdings" w:cs="Wingdings" w:hint="default"/>
        <w:rFonts w:cs="Wingdings"/>
      </w:rPr>
    </w:lvl>
    <w:lvl w:ilvl="3">
      <w:start w:val="1"/>
      <w:numFmt w:val="bullet"/>
      <w:lvlText w:val=""/>
      <w:lvlJc w:val="left"/>
      <w:pPr>
        <w:ind w:left="3447" w:hanging="360"/>
      </w:pPr>
      <w:rPr>
        <w:rFonts w:ascii="Symbol" w:hAnsi="Symbol" w:cs="Symbol" w:hint="default"/>
        <w:rFonts w:cs="Symbol"/>
      </w:rPr>
    </w:lvl>
    <w:lvl w:ilvl="4">
      <w:start w:val="1"/>
      <w:numFmt w:val="bullet"/>
      <w:lvlText w:val="o"/>
      <w:lvlJc w:val="left"/>
      <w:pPr>
        <w:ind w:left="4167" w:hanging="360"/>
      </w:pPr>
      <w:rPr>
        <w:rFonts w:ascii="Courier New" w:hAnsi="Courier New" w:cs="Courier New" w:hint="default"/>
        <w:rFonts w:cs="Courier New"/>
      </w:rPr>
    </w:lvl>
    <w:lvl w:ilvl="5">
      <w:start w:val="1"/>
      <w:numFmt w:val="bullet"/>
      <w:lvlText w:val=""/>
      <w:lvlJc w:val="left"/>
      <w:pPr>
        <w:ind w:left="4887" w:hanging="360"/>
      </w:pPr>
      <w:rPr>
        <w:rFonts w:ascii="Wingdings" w:hAnsi="Wingdings" w:cs="Wingdings" w:hint="default"/>
        <w:rFonts w:cs="Wingdings"/>
      </w:rPr>
    </w:lvl>
    <w:lvl w:ilvl="6">
      <w:start w:val="1"/>
      <w:numFmt w:val="bullet"/>
      <w:lvlText w:val=""/>
      <w:lvlJc w:val="left"/>
      <w:pPr>
        <w:ind w:left="5607" w:hanging="360"/>
      </w:pPr>
      <w:rPr>
        <w:rFonts w:ascii="Symbol" w:hAnsi="Symbol" w:cs="Symbol" w:hint="default"/>
        <w:rFonts w:cs="Symbol"/>
      </w:rPr>
    </w:lvl>
    <w:lvl w:ilvl="7">
      <w:start w:val="1"/>
      <w:numFmt w:val="bullet"/>
      <w:lvlText w:val="o"/>
      <w:lvlJc w:val="left"/>
      <w:pPr>
        <w:ind w:left="6327" w:hanging="360"/>
      </w:pPr>
      <w:rPr>
        <w:rFonts w:ascii="Courier New" w:hAnsi="Courier New" w:cs="Courier New" w:hint="default"/>
        <w:rFonts w:cs="Courier New"/>
      </w:rPr>
    </w:lvl>
    <w:lvl w:ilvl="8">
      <w:start w:val="1"/>
      <w:numFmt w:val="bullet"/>
      <w:lvlText w:val=""/>
      <w:lvlJc w:val="left"/>
      <w:pPr>
        <w:ind w:left="7047" w:hanging="360"/>
      </w:pPr>
      <w:rPr>
        <w:rFonts w:ascii="Wingdings" w:hAnsi="Wingdings" w:cs="Wingdings" w:hint="default"/>
        <w:rFonts w:cs="Wingdings"/>
      </w:rPr>
    </w:lvl>
  </w:abstractNum>
  <w:abstractNum w:abstractNumId="55">
    <w:lvl w:ilvl="0">
      <w:start w:val="1"/>
      <w:numFmt w:val="bullet"/>
      <w:lvlText w:val=""/>
      <w:lvlJc w:val="left"/>
      <w:pPr>
        <w:ind w:left="1429" w:hanging="360"/>
      </w:pPr>
      <w:rPr>
        <w:rFonts w:ascii="Wingdings" w:hAnsi="Wingdings" w:cs="Wingdings" w:hint="default"/>
        <w:rFonts w:cs="Wingdings"/>
      </w:rPr>
    </w:lvl>
    <w:lvl w:ilvl="1">
      <w:start w:val="1"/>
      <w:numFmt w:val="bullet"/>
      <w:lvlText w:val="o"/>
      <w:lvlJc w:val="left"/>
      <w:pPr>
        <w:ind w:left="2149" w:hanging="360"/>
      </w:pPr>
      <w:rPr>
        <w:rFonts w:ascii="Courier New" w:hAnsi="Courier New" w:cs="Courier New" w:hint="default"/>
        <w:rFonts w:cs="Courier New"/>
      </w:rPr>
    </w:lvl>
    <w:lvl w:ilvl="2">
      <w:start w:val="1"/>
      <w:numFmt w:val="bullet"/>
      <w:lvlText w:val=""/>
      <w:lvlJc w:val="left"/>
      <w:pPr>
        <w:ind w:left="2869" w:hanging="360"/>
      </w:pPr>
      <w:rPr>
        <w:rFonts w:ascii="Wingdings" w:hAnsi="Wingdings" w:cs="Wingdings" w:hint="default"/>
        <w:rFonts w:cs="Wingdings"/>
      </w:rPr>
    </w:lvl>
    <w:lvl w:ilvl="3">
      <w:start w:val="1"/>
      <w:numFmt w:val="bullet"/>
      <w:lvlText w:val=""/>
      <w:lvlJc w:val="left"/>
      <w:pPr>
        <w:ind w:left="3589" w:hanging="360"/>
      </w:pPr>
      <w:rPr>
        <w:rFonts w:ascii="Symbol" w:hAnsi="Symbol" w:cs="Symbol" w:hint="default"/>
        <w:rFonts w:cs="Symbol"/>
      </w:rPr>
    </w:lvl>
    <w:lvl w:ilvl="4">
      <w:start w:val="1"/>
      <w:numFmt w:val="bullet"/>
      <w:lvlText w:val="o"/>
      <w:lvlJc w:val="left"/>
      <w:pPr>
        <w:ind w:left="4309" w:hanging="360"/>
      </w:pPr>
      <w:rPr>
        <w:rFonts w:ascii="Courier New" w:hAnsi="Courier New" w:cs="Courier New" w:hint="default"/>
        <w:rFonts w:cs="Courier New"/>
      </w:rPr>
    </w:lvl>
    <w:lvl w:ilvl="5">
      <w:start w:val="1"/>
      <w:numFmt w:val="bullet"/>
      <w:lvlText w:val=""/>
      <w:lvlJc w:val="left"/>
      <w:pPr>
        <w:ind w:left="5029" w:hanging="360"/>
      </w:pPr>
      <w:rPr>
        <w:rFonts w:ascii="Wingdings" w:hAnsi="Wingdings" w:cs="Wingdings" w:hint="default"/>
        <w:rFonts w:cs="Wingdings"/>
      </w:rPr>
    </w:lvl>
    <w:lvl w:ilvl="6">
      <w:start w:val="1"/>
      <w:numFmt w:val="bullet"/>
      <w:lvlText w:val=""/>
      <w:lvlJc w:val="left"/>
      <w:pPr>
        <w:ind w:left="5749" w:hanging="360"/>
      </w:pPr>
      <w:rPr>
        <w:rFonts w:ascii="Symbol" w:hAnsi="Symbol" w:cs="Symbol" w:hint="default"/>
        <w:rFonts w:cs="Symbol"/>
      </w:rPr>
    </w:lvl>
    <w:lvl w:ilvl="7">
      <w:start w:val="1"/>
      <w:numFmt w:val="bullet"/>
      <w:lvlText w:val="o"/>
      <w:lvlJc w:val="left"/>
      <w:pPr>
        <w:ind w:left="6469" w:hanging="360"/>
      </w:pPr>
      <w:rPr>
        <w:rFonts w:ascii="Courier New" w:hAnsi="Courier New" w:cs="Courier New" w:hint="default"/>
        <w:rFonts w:cs="Courier New"/>
      </w:rPr>
    </w:lvl>
    <w:lvl w:ilvl="8">
      <w:start w:val="1"/>
      <w:numFmt w:val="bullet"/>
      <w:lvlText w:val=""/>
      <w:lvlJc w:val="left"/>
      <w:pPr>
        <w:ind w:left="7189" w:hanging="360"/>
      </w:pPr>
      <w:rPr>
        <w:rFonts w:ascii="Wingdings" w:hAnsi="Wingdings" w:cs="Wingdings" w:hint="default"/>
        <w:rFonts w:cs="Wingdings"/>
      </w:rPr>
    </w:lvl>
  </w:abstractNum>
  <w:abstractNum w:abstractNumId="56">
    <w:lvl w:ilvl="0">
      <w:start w:val="1"/>
      <w:numFmt w:val="bullet"/>
      <w:lvlText w:val=""/>
      <w:lvlJc w:val="left"/>
      <w:pPr>
        <w:ind w:left="720" w:hanging="360"/>
      </w:pPr>
      <w:rPr>
        <w:rFonts w:ascii="Symbol" w:hAnsi="Symbol" w:cs="Symbol" w:hint="default"/>
        <w:rFonts w:cs="Symbol"/>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57">
    <w:lvl w:ilvl="0">
      <w:start w:val="1"/>
      <w:numFmt w:val="bullet"/>
      <w:lvlText w:val=""/>
      <w:lvlJc w:val="left"/>
      <w:pPr>
        <w:ind w:left="720" w:hanging="360"/>
      </w:pPr>
      <w:rPr>
        <w:rFonts w:ascii="Wingdings" w:hAnsi="Wingdings" w:cs="Wingdings" w:hint="default"/>
        <w:rFonts w:cs="Wingdings"/>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58">
    <w:lvl w:ilvl="0">
      <w:start w:val="1"/>
      <w:numFmt w:val="decimal"/>
      <w:lvlText w:val="%1)"/>
      <w:lvlJc w:val="left"/>
      <w:pPr>
        <w:ind w:left="436" w:hanging="360"/>
      </w:pPr>
    </w:lvl>
    <w:lvl w:ilvl="1">
      <w:start w:val="1"/>
      <w:numFmt w:val="lowerLetter"/>
      <w:lvlText w:val="%2."/>
      <w:lvlJc w:val="left"/>
      <w:pPr>
        <w:ind w:left="1156" w:hanging="360"/>
      </w:pPr>
    </w:lvl>
    <w:lvl w:ilvl="2">
      <w:start w:val="1"/>
      <w:numFmt w:val="lowerRoman"/>
      <w:lvlText w:val="%3."/>
      <w:lvlJc w:val="right"/>
      <w:pPr>
        <w:ind w:left="1876" w:hanging="180"/>
      </w:pPr>
    </w:lvl>
    <w:lvl w:ilvl="3">
      <w:start w:val="1"/>
      <w:numFmt w:val="decimal"/>
      <w:lvlText w:val="%4."/>
      <w:lvlJc w:val="left"/>
      <w:pPr>
        <w:ind w:left="2596" w:hanging="360"/>
      </w:pPr>
    </w:lvl>
    <w:lvl w:ilvl="4">
      <w:start w:val="1"/>
      <w:numFmt w:val="lowerLetter"/>
      <w:lvlText w:val="%5."/>
      <w:lvlJc w:val="left"/>
      <w:pPr>
        <w:ind w:left="3316" w:hanging="360"/>
      </w:pPr>
    </w:lvl>
    <w:lvl w:ilvl="5">
      <w:start w:val="1"/>
      <w:numFmt w:val="lowerRoman"/>
      <w:lvlText w:val="%6."/>
      <w:lvlJc w:val="right"/>
      <w:pPr>
        <w:ind w:left="4036" w:hanging="180"/>
      </w:pPr>
    </w:lvl>
    <w:lvl w:ilvl="6">
      <w:start w:val="1"/>
      <w:numFmt w:val="decimal"/>
      <w:lvlText w:val="%7."/>
      <w:lvlJc w:val="left"/>
      <w:pPr>
        <w:ind w:left="4756" w:hanging="360"/>
      </w:pPr>
    </w:lvl>
    <w:lvl w:ilvl="7">
      <w:start w:val="1"/>
      <w:numFmt w:val="lowerLetter"/>
      <w:lvlText w:val="%8."/>
      <w:lvlJc w:val="left"/>
      <w:pPr>
        <w:ind w:left="5476" w:hanging="360"/>
      </w:pPr>
    </w:lvl>
    <w:lvl w:ilvl="8">
      <w:start w:val="1"/>
      <w:numFmt w:val="lowerRoman"/>
      <w:lvlText w:val="%9."/>
      <w:lvlJc w:val="right"/>
      <w:pPr>
        <w:ind w:left="6196" w:hanging="180"/>
      </w:pPr>
    </w:lvl>
  </w:abstractNum>
  <w:abstractNum w:abstractNumId="59">
    <w:lvl w:ilvl="0">
      <w:start w:val="1"/>
      <w:numFmt w:val="bullet"/>
      <w:lvlText w:val=""/>
      <w:lvlJc w:val="left"/>
      <w:pPr>
        <w:ind w:left="2160" w:hanging="360"/>
      </w:pPr>
      <w:rPr>
        <w:rFonts w:ascii="Symbol" w:hAnsi="Symbol" w:cs="Symbol" w:hint="default"/>
        <w:rFonts w:cs="Symbol"/>
      </w:rPr>
    </w:lvl>
    <w:lvl w:ilvl="1">
      <w:start w:val="1"/>
      <w:numFmt w:val="bullet"/>
      <w:lvlText w:val="o"/>
      <w:lvlJc w:val="left"/>
      <w:pPr>
        <w:ind w:left="2880" w:hanging="360"/>
      </w:pPr>
      <w:rPr>
        <w:rFonts w:ascii="Courier New" w:hAnsi="Courier New" w:cs="Courier New" w:hint="default"/>
        <w:rFonts w:cs="Courier New"/>
      </w:rPr>
    </w:lvl>
    <w:lvl w:ilvl="2">
      <w:start w:val="1"/>
      <w:numFmt w:val="bullet"/>
      <w:lvlText w:val=""/>
      <w:lvlJc w:val="left"/>
      <w:pPr>
        <w:ind w:left="3600" w:hanging="360"/>
      </w:pPr>
      <w:rPr>
        <w:rFonts w:ascii="Wingdings" w:hAnsi="Wingdings" w:cs="Wingdings" w:hint="default"/>
        <w:rFonts w:cs="Wingdings"/>
      </w:rPr>
    </w:lvl>
    <w:lvl w:ilvl="3">
      <w:start w:val="1"/>
      <w:numFmt w:val="bullet"/>
      <w:lvlText w:val=""/>
      <w:lvlJc w:val="left"/>
      <w:pPr>
        <w:ind w:left="4320" w:hanging="360"/>
      </w:pPr>
      <w:rPr>
        <w:rFonts w:ascii="Symbol" w:hAnsi="Symbol" w:cs="Symbol" w:hint="default"/>
        <w:rFonts w:cs="Symbol"/>
      </w:rPr>
    </w:lvl>
    <w:lvl w:ilvl="4">
      <w:start w:val="1"/>
      <w:numFmt w:val="bullet"/>
      <w:lvlText w:val="o"/>
      <w:lvlJc w:val="left"/>
      <w:pPr>
        <w:ind w:left="5040" w:hanging="360"/>
      </w:pPr>
      <w:rPr>
        <w:rFonts w:ascii="Courier New" w:hAnsi="Courier New" w:cs="Courier New" w:hint="default"/>
        <w:rFonts w:cs="Courier New"/>
      </w:rPr>
    </w:lvl>
    <w:lvl w:ilvl="5">
      <w:start w:val="1"/>
      <w:numFmt w:val="bullet"/>
      <w:lvlText w:val=""/>
      <w:lvlJc w:val="left"/>
      <w:pPr>
        <w:ind w:left="5760" w:hanging="360"/>
      </w:pPr>
      <w:rPr>
        <w:rFonts w:ascii="Wingdings" w:hAnsi="Wingdings" w:cs="Wingdings" w:hint="default"/>
        <w:rFonts w:cs="Wingdings"/>
      </w:rPr>
    </w:lvl>
    <w:lvl w:ilvl="6">
      <w:start w:val="1"/>
      <w:numFmt w:val="bullet"/>
      <w:lvlText w:val=""/>
      <w:lvlJc w:val="left"/>
      <w:pPr>
        <w:ind w:left="6480" w:hanging="360"/>
      </w:pPr>
      <w:rPr>
        <w:rFonts w:ascii="Symbol" w:hAnsi="Symbol" w:cs="Symbol" w:hint="default"/>
        <w:rFonts w:cs="Symbol"/>
      </w:rPr>
    </w:lvl>
    <w:lvl w:ilvl="7">
      <w:start w:val="1"/>
      <w:numFmt w:val="bullet"/>
      <w:lvlText w:val="o"/>
      <w:lvlJc w:val="left"/>
      <w:pPr>
        <w:ind w:left="7200" w:hanging="360"/>
      </w:pPr>
      <w:rPr>
        <w:rFonts w:ascii="Courier New" w:hAnsi="Courier New" w:cs="Courier New" w:hint="default"/>
        <w:rFonts w:cs="Courier New"/>
      </w:rPr>
    </w:lvl>
    <w:lvl w:ilvl="8">
      <w:start w:val="1"/>
      <w:numFmt w:val="bullet"/>
      <w:lvlText w:val=""/>
      <w:lvlJc w:val="left"/>
      <w:pPr>
        <w:ind w:left="7920" w:hanging="360"/>
      </w:pPr>
      <w:rPr>
        <w:rFonts w:ascii="Wingdings" w:hAnsi="Wingdings" w:cs="Wingdings" w:hint="default"/>
        <w:rFonts w:cs="Wingdings"/>
      </w:rPr>
    </w:lvl>
  </w:abstractNum>
  <w:abstractNum w:abstractNumId="60">
    <w:lvl w:ilvl="0">
      <w:start w:val="1"/>
      <w:numFmt w:val="bullet"/>
      <w:lvlText w:val=""/>
      <w:lvlJc w:val="left"/>
      <w:pPr>
        <w:ind w:left="1440" w:hanging="360"/>
      </w:pPr>
      <w:rPr>
        <w:rFonts w:ascii="Symbol" w:hAnsi="Symbol" w:cs="Symbol" w:hint="default"/>
        <w:rFonts w:cs="Symbol"/>
      </w:rPr>
    </w:lvl>
    <w:lvl w:ilvl="1">
      <w:start w:val="1"/>
      <w:numFmt w:val="bullet"/>
      <w:lvlText w:val="o"/>
      <w:lvlJc w:val="left"/>
      <w:pPr>
        <w:ind w:left="2160" w:hanging="360"/>
      </w:pPr>
      <w:rPr>
        <w:rFonts w:ascii="Courier New" w:hAnsi="Courier New" w:cs="Courier New" w:hint="default"/>
        <w:rFonts w:cs="Courier New"/>
      </w:rPr>
    </w:lvl>
    <w:lvl w:ilvl="2">
      <w:start w:val="1"/>
      <w:numFmt w:val="bullet"/>
      <w:lvlText w:val=""/>
      <w:lvlJc w:val="left"/>
      <w:pPr>
        <w:ind w:left="2880" w:hanging="360"/>
      </w:pPr>
      <w:rPr>
        <w:rFonts w:ascii="Wingdings" w:hAnsi="Wingdings" w:cs="Wingdings" w:hint="default"/>
        <w:rFonts w:cs="Wingdings"/>
      </w:rPr>
    </w:lvl>
    <w:lvl w:ilvl="3">
      <w:start w:val="1"/>
      <w:numFmt w:val="bullet"/>
      <w:lvlText w:val=""/>
      <w:lvlJc w:val="left"/>
      <w:pPr>
        <w:ind w:left="3600" w:hanging="360"/>
      </w:pPr>
      <w:rPr>
        <w:rFonts w:ascii="Symbol" w:hAnsi="Symbol" w:cs="Symbol" w:hint="default"/>
        <w:rFonts w:cs="Symbol"/>
      </w:rPr>
    </w:lvl>
    <w:lvl w:ilvl="4">
      <w:start w:val="1"/>
      <w:numFmt w:val="bullet"/>
      <w:lvlText w:val="o"/>
      <w:lvlJc w:val="left"/>
      <w:pPr>
        <w:ind w:left="4320" w:hanging="360"/>
      </w:pPr>
      <w:rPr>
        <w:rFonts w:ascii="Courier New" w:hAnsi="Courier New" w:cs="Courier New" w:hint="default"/>
        <w:rFonts w:cs="Courier New"/>
      </w:rPr>
    </w:lvl>
    <w:lvl w:ilvl="5">
      <w:start w:val="1"/>
      <w:numFmt w:val="bullet"/>
      <w:lvlText w:val=""/>
      <w:lvlJc w:val="left"/>
      <w:pPr>
        <w:ind w:left="5040" w:hanging="360"/>
      </w:pPr>
      <w:rPr>
        <w:rFonts w:ascii="Wingdings" w:hAnsi="Wingdings" w:cs="Wingdings" w:hint="default"/>
        <w:rFonts w:cs="Wingdings"/>
      </w:rPr>
    </w:lvl>
    <w:lvl w:ilvl="6">
      <w:start w:val="1"/>
      <w:numFmt w:val="bullet"/>
      <w:lvlText w:val=""/>
      <w:lvlJc w:val="left"/>
      <w:pPr>
        <w:ind w:left="5760" w:hanging="360"/>
      </w:pPr>
      <w:rPr>
        <w:rFonts w:ascii="Symbol" w:hAnsi="Symbol" w:cs="Symbol" w:hint="default"/>
        <w:rFonts w:cs="Symbol"/>
      </w:rPr>
    </w:lvl>
    <w:lvl w:ilvl="7">
      <w:start w:val="1"/>
      <w:numFmt w:val="bullet"/>
      <w:lvlText w:val="o"/>
      <w:lvlJc w:val="left"/>
      <w:pPr>
        <w:ind w:left="6480" w:hanging="360"/>
      </w:pPr>
      <w:rPr>
        <w:rFonts w:ascii="Courier New" w:hAnsi="Courier New" w:cs="Courier New" w:hint="default"/>
        <w:rFonts w:cs="Courier New"/>
      </w:rPr>
    </w:lvl>
    <w:lvl w:ilvl="8">
      <w:start w:val="1"/>
      <w:numFmt w:val="bullet"/>
      <w:lvlText w:val=""/>
      <w:lvlJc w:val="left"/>
      <w:pPr>
        <w:ind w:left="7200" w:hanging="360"/>
      </w:pPr>
      <w:rPr>
        <w:rFonts w:ascii="Wingdings" w:hAnsi="Wingdings" w:cs="Wingdings" w:hint="default"/>
        <w:rFonts w:cs="Wingdings"/>
      </w:rPr>
    </w:lvl>
  </w:abstractNum>
  <w:abstractNum w:abstractNumId="61">
    <w:lvl w:ilvl="0">
      <w:start w:val="1"/>
      <w:numFmt w:val="decimal"/>
      <w:lvlText w:val="%1."/>
      <w:lvlJc w:val="left"/>
      <w:pPr>
        <w:tabs>
          <w:tab w:val="num" w:pos="720"/>
        </w:tabs>
        <w:ind w:left="720" w:hanging="360"/>
      </w:pPr>
      <w:rPr>
        <w:b/>
        <w:bCs w:val="false"/>
        <w:rFonts w:ascii="Arial" w:hAnsi="Arial"/>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2">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bering>
</file>

<file path=word/settings.xml><?xml version="1.0" encoding="utf-8"?>
<w:settings xmlns:w="http://schemas.openxmlformats.org/wordprocessingml/2006/main">
  <w:zoom w:percent="100"/>
  <w:defaultTabStop w:val="708"/>
  <w:footnotePr>
    <w:numFmt w:val="decimal"/>
    <w:footnote w:id="0"/>
    <w:footnote w:id="1"/>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pl-P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Times New Roman" w:cs="Times New Roman"/>
        <w:lang w:val="pl-PL" w:eastAsia="pl-PL" w:bidi="ar-SA"/>
      </w:rPr>
    </w:rPrDefault>
    <w:pPrDefault>
      <w:pPr/>
    </w:pPrDefault>
  </w:docDefaults>
  <w:latentStyles w:defLockedState="0" w:defUIPriority="99" w:defSemiHidden="0" w:defUnhideWhenUsed="0" w:defQFormat="0" w:count="377">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uiPriority="0"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uiPriority="0"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styleId="Normal" w:default="1">
    <w:name w:val="Normal"/>
    <w:qFormat/>
    <w:rsid w:val="00f2736f"/>
    <w:pPr>
      <w:widowControl/>
      <w:bidi w:val="0"/>
      <w:spacing w:lineRule="auto" w:line="276" w:before="0" w:after="200"/>
      <w:jc w:val="left"/>
    </w:pPr>
    <w:rPr>
      <w:rFonts w:ascii="Calibri" w:hAnsi="Calibri" w:eastAsia="Times New Roman" w:cs="Times New Roman"/>
      <w:color w:val="auto"/>
      <w:kern w:val="0"/>
      <w:sz w:val="22"/>
      <w:szCs w:val="22"/>
      <w:lang w:val="pl-PL" w:eastAsia="pl-PL" w:bidi="ar-SA"/>
    </w:rPr>
  </w:style>
  <w:style w:type="paragraph" w:styleId="Nagwek1">
    <w:name w:val="Heading 1"/>
    <w:basedOn w:val="Normal"/>
    <w:next w:val="Normal"/>
    <w:link w:val="Nagwek1Znak"/>
    <w:qFormat/>
    <w:rsid w:val="005217b9"/>
    <w:pPr>
      <w:keepNext w:val="true"/>
      <w:spacing w:lineRule="auto" w:line="360" w:before="240" w:after="60"/>
      <w:outlineLvl w:val="0"/>
    </w:pPr>
    <w:rPr>
      <w:rFonts w:ascii="Arial" w:hAnsi="Arial"/>
      <w:b/>
      <w:bCs/>
      <w:kern w:val="2"/>
      <w:sz w:val="28"/>
      <w:szCs w:val="32"/>
    </w:rPr>
  </w:style>
  <w:style w:type="paragraph" w:styleId="Nagwek2">
    <w:name w:val="Heading 2"/>
    <w:basedOn w:val="Normal"/>
    <w:next w:val="Normal"/>
    <w:link w:val="Nagwek2Znak"/>
    <w:qFormat/>
    <w:rsid w:val="0057424a"/>
    <w:pPr>
      <w:keepNext w:val="true"/>
      <w:spacing w:lineRule="auto" w:line="240" w:before="240" w:after="60"/>
      <w:outlineLvl w:val="1"/>
    </w:pPr>
    <w:rPr>
      <w:rFonts w:ascii="Arial" w:hAnsi="Arial"/>
      <w:b/>
      <w:bCs/>
      <w:iCs/>
      <w:sz w:val="24"/>
      <w:szCs w:val="28"/>
    </w:rPr>
  </w:style>
  <w:style w:type="paragraph" w:styleId="Nagwek3">
    <w:name w:val="Heading 3"/>
    <w:basedOn w:val="Normal"/>
    <w:next w:val="Normal"/>
    <w:link w:val="Nagwek3Znak"/>
    <w:qFormat/>
    <w:rsid w:val="00535068"/>
    <w:pPr>
      <w:keepNext w:val="true"/>
      <w:spacing w:lineRule="auto" w:line="360" w:before="240" w:after="60"/>
      <w:outlineLvl w:val="2"/>
    </w:pPr>
    <w:rPr>
      <w:rFonts w:ascii="Arial" w:hAnsi="Arial"/>
      <w:b/>
      <w:bCs/>
      <w:sz w:val="26"/>
      <w:szCs w:val="26"/>
    </w:rPr>
  </w:style>
  <w:style w:type="paragraph" w:styleId="Nagwek4">
    <w:name w:val="Heading 4"/>
    <w:basedOn w:val="Normal"/>
    <w:next w:val="Normal"/>
    <w:link w:val="Nagwek4Znak"/>
    <w:unhideWhenUsed/>
    <w:qFormat/>
    <w:rsid w:val="00756f0f"/>
    <w:pPr>
      <w:keepNext w:val="true"/>
      <w:keepLines/>
      <w:spacing w:before="200" w:after="0"/>
      <w:outlineLvl w:val="3"/>
    </w:pPr>
    <w:rPr>
      <w:rFonts w:ascii="Cambria" w:hAnsi="Cambria"/>
      <w:b/>
      <w:bCs/>
      <w:i/>
      <w:iCs/>
      <w:color w:val="4F81BD"/>
      <w:sz w:val="20"/>
      <w:szCs w:val="20"/>
    </w:rPr>
  </w:style>
  <w:style w:type="paragraph" w:styleId="Nagwek5">
    <w:name w:val="Heading 5"/>
    <w:basedOn w:val="Normal"/>
    <w:next w:val="Normal"/>
    <w:link w:val="Nagwek5Znak"/>
    <w:unhideWhenUsed/>
    <w:qFormat/>
    <w:rsid w:val="001c6f11"/>
    <w:pPr>
      <w:keepNext w:val="true"/>
      <w:keepLines/>
      <w:spacing w:before="200" w:after="0"/>
      <w:outlineLvl w:val="4"/>
    </w:pPr>
    <w:rPr>
      <w:rFonts w:ascii="Cambria" w:hAnsi="Cambria"/>
      <w:color w:val="243F60"/>
    </w:rPr>
  </w:style>
  <w:style w:type="paragraph" w:styleId="Nagwek6">
    <w:name w:val="Heading 6"/>
    <w:basedOn w:val="Normal"/>
    <w:next w:val="Normal"/>
    <w:link w:val="Nagwek6Znak"/>
    <w:unhideWhenUsed/>
    <w:qFormat/>
    <w:rsid w:val="001c6f11"/>
    <w:pPr>
      <w:keepNext w:val="true"/>
      <w:keepLines/>
      <w:spacing w:before="200" w:after="0"/>
      <w:outlineLvl w:val="5"/>
    </w:pPr>
    <w:rPr>
      <w:rFonts w:ascii="Cambria" w:hAnsi="Cambria"/>
      <w:i/>
      <w:iCs/>
      <w:color w:val="243F60"/>
    </w:rPr>
  </w:style>
  <w:style w:type="paragraph" w:styleId="Nagwek7">
    <w:name w:val="Heading 7"/>
    <w:basedOn w:val="Normal"/>
    <w:next w:val="Normal"/>
    <w:link w:val="Nagwek7Znak"/>
    <w:unhideWhenUsed/>
    <w:qFormat/>
    <w:rsid w:val="001c6f11"/>
    <w:pPr>
      <w:keepNext w:val="true"/>
      <w:keepLines/>
      <w:spacing w:before="200" w:after="0"/>
      <w:outlineLvl w:val="6"/>
    </w:pPr>
    <w:rPr>
      <w:rFonts w:ascii="Cambria" w:hAnsi="Cambria"/>
      <w:i/>
      <w:iCs/>
      <w:color w:val="404040"/>
    </w:rPr>
  </w:style>
  <w:style w:type="paragraph" w:styleId="Nagwek8">
    <w:name w:val="Heading 8"/>
    <w:basedOn w:val="Normal"/>
    <w:next w:val="Normal"/>
    <w:link w:val="Nagwek8Znak"/>
    <w:unhideWhenUsed/>
    <w:qFormat/>
    <w:rsid w:val="001c6f11"/>
    <w:pPr>
      <w:keepNext w:val="true"/>
      <w:keepLines/>
      <w:spacing w:before="200" w:after="0"/>
      <w:outlineLvl w:val="7"/>
    </w:pPr>
    <w:rPr>
      <w:rFonts w:ascii="Cambria" w:hAnsi="Cambria"/>
      <w:color w:val="404040"/>
      <w:sz w:val="20"/>
      <w:szCs w:val="20"/>
    </w:rPr>
  </w:style>
  <w:style w:type="paragraph" w:styleId="Nagwek9">
    <w:name w:val="Heading 9"/>
    <w:basedOn w:val="Normal"/>
    <w:next w:val="Normal"/>
    <w:link w:val="Nagwek9Znak"/>
    <w:unhideWhenUsed/>
    <w:qFormat/>
    <w:rsid w:val="007639ae"/>
    <w:pPr>
      <w:keepNext w:val="true"/>
      <w:keepLines/>
      <w:spacing w:before="200" w:after="0"/>
      <w:ind w:left="1584" w:hanging="1584"/>
      <w:outlineLvl w:val="8"/>
    </w:pPr>
    <w:rPr>
      <w:rFonts w:ascii="Cambria" w:hAnsi="Cambria"/>
      <w:i/>
      <w:iCs/>
      <w:color w:val="404040"/>
      <w:sz w:val="20"/>
      <w:szCs w:val="20"/>
      <w:lang w:eastAsia="en-US"/>
    </w:rPr>
  </w:style>
  <w:style w:type="character" w:styleId="DefaultParagraphFont" w:default="1">
    <w:name w:val="Default Paragraph Font"/>
    <w:uiPriority w:val="1"/>
    <w:semiHidden/>
    <w:unhideWhenUsed/>
    <w:qFormat/>
    <w:rPr/>
  </w:style>
  <w:style w:type="character" w:styleId="Nagwek1Znak" w:customStyle="1">
    <w:name w:val="Nagłówek 1 Znak"/>
    <w:link w:val="Nagwek1"/>
    <w:uiPriority w:val="9"/>
    <w:qFormat/>
    <w:rsid w:val="005217b9"/>
    <w:rPr>
      <w:rFonts w:ascii="Arial" w:hAnsi="Arial" w:eastAsia="Times New Roman" w:cs="Times New Roman"/>
      <w:b/>
      <w:bCs/>
      <w:kern w:val="2"/>
      <w:sz w:val="28"/>
      <w:szCs w:val="32"/>
      <w:lang w:eastAsia="pl-PL"/>
    </w:rPr>
  </w:style>
  <w:style w:type="character" w:styleId="Nagwek2Znak" w:customStyle="1">
    <w:name w:val="Nagłówek 2 Znak"/>
    <w:link w:val="Nagwek2"/>
    <w:uiPriority w:val="9"/>
    <w:qFormat/>
    <w:rsid w:val="0057424a"/>
    <w:rPr>
      <w:rFonts w:ascii="Arial" w:hAnsi="Arial" w:eastAsia="Times New Roman"/>
      <w:b/>
      <w:bCs/>
      <w:iCs/>
      <w:sz w:val="24"/>
      <w:szCs w:val="28"/>
    </w:rPr>
  </w:style>
  <w:style w:type="character" w:styleId="Nagwek3Znak" w:customStyle="1">
    <w:name w:val="Nagłówek 3 Znak"/>
    <w:link w:val="Nagwek3"/>
    <w:qFormat/>
    <w:rsid w:val="00535068"/>
    <w:rPr>
      <w:rFonts w:ascii="Arial" w:hAnsi="Arial" w:eastAsia="Times New Roman" w:cs="Arial"/>
      <w:b/>
      <w:bCs/>
      <w:sz w:val="26"/>
      <w:szCs w:val="26"/>
      <w:lang w:eastAsia="pl-PL"/>
    </w:rPr>
  </w:style>
  <w:style w:type="character" w:styleId="Nagwek4Znak" w:customStyle="1">
    <w:name w:val="Nagłówek 4 Znak"/>
    <w:link w:val="Nagwek4"/>
    <w:uiPriority w:val="9"/>
    <w:qFormat/>
    <w:rsid w:val="00756f0f"/>
    <w:rPr>
      <w:rFonts w:ascii="Cambria" w:hAnsi="Cambria" w:eastAsia="Times New Roman" w:cs="Times New Roman"/>
      <w:b/>
      <w:bCs/>
      <w:i/>
      <w:iCs/>
      <w:color w:val="4F81BD"/>
    </w:rPr>
  </w:style>
  <w:style w:type="character" w:styleId="Nagwek5Znak" w:customStyle="1">
    <w:name w:val="Nagłówek 5 Znak"/>
    <w:link w:val="Nagwek5"/>
    <w:uiPriority w:val="9"/>
    <w:qFormat/>
    <w:rsid w:val="001c6f11"/>
    <w:rPr>
      <w:rFonts w:ascii="Cambria" w:hAnsi="Cambria" w:eastAsia="Times New Roman" w:cs="Times New Roman"/>
      <w:color w:val="243F60"/>
      <w:sz w:val="22"/>
      <w:szCs w:val="22"/>
    </w:rPr>
  </w:style>
  <w:style w:type="character" w:styleId="Nagwek6Znak" w:customStyle="1">
    <w:name w:val="Nagłówek 6 Znak"/>
    <w:link w:val="Nagwek6"/>
    <w:uiPriority w:val="9"/>
    <w:qFormat/>
    <w:rsid w:val="001c6f11"/>
    <w:rPr>
      <w:rFonts w:ascii="Cambria" w:hAnsi="Cambria" w:eastAsia="Times New Roman" w:cs="Times New Roman"/>
      <w:i/>
      <w:iCs/>
      <w:color w:val="243F60"/>
      <w:sz w:val="22"/>
      <w:szCs w:val="22"/>
    </w:rPr>
  </w:style>
  <w:style w:type="character" w:styleId="Nagwek7Znak" w:customStyle="1">
    <w:name w:val="Nagłówek 7 Znak"/>
    <w:link w:val="Nagwek7"/>
    <w:uiPriority w:val="9"/>
    <w:qFormat/>
    <w:rsid w:val="001c6f11"/>
    <w:rPr>
      <w:rFonts w:ascii="Cambria" w:hAnsi="Cambria" w:eastAsia="Times New Roman" w:cs="Times New Roman"/>
      <w:i/>
      <w:iCs/>
      <w:color w:val="404040"/>
      <w:sz w:val="22"/>
      <w:szCs w:val="22"/>
    </w:rPr>
  </w:style>
  <w:style w:type="character" w:styleId="Nagwek8Znak" w:customStyle="1">
    <w:name w:val="Nagłówek 8 Znak"/>
    <w:link w:val="Nagwek8"/>
    <w:uiPriority w:val="9"/>
    <w:qFormat/>
    <w:rsid w:val="001c6f11"/>
    <w:rPr>
      <w:rFonts w:ascii="Cambria" w:hAnsi="Cambria" w:eastAsia="Times New Roman" w:cs="Times New Roman"/>
      <w:color w:val="404040"/>
    </w:rPr>
  </w:style>
  <w:style w:type="character" w:styleId="PlaceholderText">
    <w:name w:val="Placeholder Text"/>
    <w:uiPriority w:val="99"/>
    <w:semiHidden/>
    <w:qFormat/>
    <w:rsid w:val="000e6c47"/>
    <w:rPr>
      <w:color w:val="808080"/>
    </w:rPr>
  </w:style>
  <w:style w:type="character" w:styleId="TekstdymkaZnak" w:customStyle="1">
    <w:name w:val="Tekst dymka Znak"/>
    <w:link w:val="Tekstdymka"/>
    <w:uiPriority w:val="99"/>
    <w:semiHidden/>
    <w:qFormat/>
    <w:rsid w:val="000e6c47"/>
    <w:rPr>
      <w:rFonts w:ascii="Tahoma" w:hAnsi="Tahoma" w:cs="Tahoma"/>
      <w:sz w:val="16"/>
      <w:szCs w:val="16"/>
    </w:rPr>
  </w:style>
  <w:style w:type="character" w:styleId="TekstprzypisukocowegoZnak" w:customStyle="1">
    <w:name w:val="Tekst przypisu końcowego Znak"/>
    <w:link w:val="Tekstprzypisukocowego"/>
    <w:uiPriority w:val="99"/>
    <w:semiHidden/>
    <w:qFormat/>
    <w:rsid w:val="001e1045"/>
    <w:rPr>
      <w:sz w:val="20"/>
      <w:szCs w:val="20"/>
    </w:rPr>
  </w:style>
  <w:style w:type="character" w:styleId="Zakotwiczenieprzypisukocowego">
    <w:name w:val="Zakotwiczenie przypisu końcowego"/>
    <w:rPr>
      <w:vertAlign w:val="superscript"/>
    </w:rPr>
  </w:style>
  <w:style w:type="character" w:styleId="EndnoteCharacters">
    <w:name w:val="Endnote Characters"/>
    <w:uiPriority w:val="99"/>
    <w:semiHidden/>
    <w:unhideWhenUsed/>
    <w:qFormat/>
    <w:rsid w:val="001e1045"/>
    <w:rPr>
      <w:vertAlign w:val="superscript"/>
    </w:rPr>
  </w:style>
  <w:style w:type="character" w:styleId="Czeinternetowe">
    <w:name w:val="Łącze internetowe"/>
    <w:uiPriority w:val="99"/>
    <w:unhideWhenUsed/>
    <w:rsid w:val="00c06d3e"/>
    <w:rPr>
      <w:color w:val="0000FF"/>
      <w:u w:val="single"/>
    </w:rPr>
  </w:style>
  <w:style w:type="character" w:styleId="NagwekZnak" w:customStyle="1">
    <w:name w:val="Nagłówek Znak"/>
    <w:basedOn w:val="DefaultParagraphFont"/>
    <w:link w:val="Nagwek"/>
    <w:uiPriority w:val="99"/>
    <w:qFormat/>
    <w:rsid w:val="009f1fa0"/>
    <w:rPr/>
  </w:style>
  <w:style w:type="character" w:styleId="StopkaZnak" w:customStyle="1">
    <w:name w:val="Stopka Znak"/>
    <w:basedOn w:val="DefaultParagraphFont"/>
    <w:link w:val="Stopka"/>
    <w:uiPriority w:val="99"/>
    <w:qFormat/>
    <w:rsid w:val="009f1fa0"/>
    <w:rPr/>
  </w:style>
  <w:style w:type="character" w:styleId="Tekstpodstawowy2Znak" w:customStyle="1">
    <w:name w:val="Tekst podstawowy 2 Znak"/>
    <w:link w:val="Tekstpodstawowy2"/>
    <w:qFormat/>
    <w:rsid w:val="003326d4"/>
    <w:rPr>
      <w:rFonts w:ascii="Times New Roman" w:hAnsi="Times New Roman" w:eastAsia="Times New Roman" w:cs="Times New Roman"/>
      <w:sz w:val="24"/>
      <w:szCs w:val="24"/>
      <w:lang w:eastAsia="pl-PL"/>
    </w:rPr>
  </w:style>
  <w:style w:type="character" w:styleId="TekstpodstawowywcityZnak" w:customStyle="1">
    <w:name w:val="Tekst podstawowy wcięty Znak"/>
    <w:link w:val="Tekstpodstawowywcity"/>
    <w:qFormat/>
    <w:rsid w:val="00f2766b"/>
    <w:rPr>
      <w:rFonts w:ascii="Times New Roman" w:hAnsi="Times New Roman" w:eastAsia="Times New Roman" w:cs="Times New Roman"/>
      <w:sz w:val="24"/>
      <w:szCs w:val="24"/>
      <w:lang w:eastAsia="pl-PL"/>
    </w:rPr>
  </w:style>
  <w:style w:type="character" w:styleId="FontStyle173" w:customStyle="1">
    <w:name w:val="Font Style173"/>
    <w:uiPriority w:val="99"/>
    <w:qFormat/>
    <w:rsid w:val="00c97035"/>
    <w:rPr>
      <w:rFonts w:ascii="Arial Unicode MS" w:hAnsi="Arial Unicode MS" w:eastAsia="Arial Unicode MS" w:cs="Arial Unicode MS"/>
      <w:sz w:val="20"/>
      <w:szCs w:val="20"/>
    </w:rPr>
  </w:style>
  <w:style w:type="character" w:styleId="FontStyle176" w:customStyle="1">
    <w:name w:val="Font Style176"/>
    <w:qFormat/>
    <w:rsid w:val="00c97035"/>
    <w:rPr>
      <w:rFonts w:ascii="Arial Unicode MS" w:hAnsi="Arial Unicode MS" w:eastAsia="Arial Unicode MS" w:cs="Arial Unicode MS"/>
      <w:b/>
      <w:bCs/>
      <w:sz w:val="20"/>
      <w:szCs w:val="20"/>
    </w:rPr>
  </w:style>
  <w:style w:type="character" w:styleId="FontStyle151" w:customStyle="1">
    <w:name w:val="Font Style151"/>
    <w:uiPriority w:val="99"/>
    <w:qFormat/>
    <w:rsid w:val="00557b23"/>
    <w:rPr>
      <w:rFonts w:ascii="Arial Unicode MS" w:hAnsi="Arial Unicode MS" w:eastAsia="Arial Unicode MS" w:cs="Arial Unicode MS"/>
      <w:i/>
      <w:iCs/>
      <w:spacing w:val="20"/>
      <w:sz w:val="20"/>
      <w:szCs w:val="20"/>
    </w:rPr>
  </w:style>
  <w:style w:type="character" w:styleId="MapadokumentuZnak" w:customStyle="1">
    <w:name w:val="Mapa dokumentu Znak"/>
    <w:link w:val="Mapadokumentu1"/>
    <w:uiPriority w:val="99"/>
    <w:semiHidden/>
    <w:qFormat/>
    <w:rsid w:val="002557b0"/>
    <w:rPr>
      <w:rFonts w:ascii="Tahoma" w:hAnsi="Tahoma" w:cs="Tahoma"/>
      <w:sz w:val="16"/>
      <w:szCs w:val="16"/>
    </w:rPr>
  </w:style>
  <w:style w:type="character" w:styleId="TekstpodstawowyZnak" w:customStyle="1">
    <w:name w:val="Tekst podstawowy Znak"/>
    <w:basedOn w:val="DefaultParagraphFont"/>
    <w:link w:val="Tekstpodstawowy"/>
    <w:qFormat/>
    <w:rsid w:val="00f06bc3"/>
    <w:rPr/>
  </w:style>
  <w:style w:type="character" w:styleId="FontStyle115" w:customStyle="1">
    <w:name w:val="Font Style115"/>
    <w:uiPriority w:val="99"/>
    <w:qFormat/>
    <w:rsid w:val="005b348d"/>
    <w:rPr>
      <w:rFonts w:ascii="Times New Roman" w:hAnsi="Times New Roman" w:cs="Times New Roman"/>
      <w:i/>
      <w:iCs/>
      <w:sz w:val="22"/>
      <w:szCs w:val="22"/>
    </w:rPr>
  </w:style>
  <w:style w:type="character" w:styleId="FontStyle116" w:customStyle="1">
    <w:name w:val="Font Style116"/>
    <w:uiPriority w:val="99"/>
    <w:qFormat/>
    <w:rsid w:val="005b348d"/>
    <w:rPr>
      <w:rFonts w:ascii="Times New Roman" w:hAnsi="Times New Roman" w:cs="Times New Roman"/>
      <w:sz w:val="22"/>
      <w:szCs w:val="22"/>
    </w:rPr>
  </w:style>
  <w:style w:type="character" w:styleId="FontStyle78" w:customStyle="1">
    <w:name w:val="Font Style78"/>
    <w:uiPriority w:val="99"/>
    <w:qFormat/>
    <w:rsid w:val="005b348d"/>
    <w:rPr>
      <w:rFonts w:ascii="Times New Roman" w:hAnsi="Times New Roman" w:cs="Times New Roman"/>
      <w:sz w:val="20"/>
      <w:szCs w:val="20"/>
    </w:rPr>
  </w:style>
  <w:style w:type="character" w:styleId="FontStyle64" w:customStyle="1">
    <w:name w:val="Font Style64"/>
    <w:uiPriority w:val="99"/>
    <w:qFormat/>
    <w:rsid w:val="005b348d"/>
    <w:rPr>
      <w:rFonts w:ascii="Times New Roman" w:hAnsi="Times New Roman" w:cs="Times New Roman"/>
      <w:b/>
      <w:bCs/>
      <w:i/>
      <w:iCs/>
      <w:sz w:val="20"/>
      <w:szCs w:val="20"/>
    </w:rPr>
  </w:style>
  <w:style w:type="character" w:styleId="FontStyle65" w:customStyle="1">
    <w:name w:val="Font Style65"/>
    <w:uiPriority w:val="99"/>
    <w:qFormat/>
    <w:rsid w:val="005b348d"/>
    <w:rPr>
      <w:rFonts w:ascii="Times New Roman" w:hAnsi="Times New Roman" w:cs="Times New Roman"/>
      <w:i/>
      <w:iCs/>
      <w:sz w:val="20"/>
      <w:szCs w:val="20"/>
    </w:rPr>
  </w:style>
  <w:style w:type="character" w:styleId="FontStyle76" w:customStyle="1">
    <w:name w:val="Font Style76"/>
    <w:uiPriority w:val="99"/>
    <w:qFormat/>
    <w:rsid w:val="005b348d"/>
    <w:rPr>
      <w:rFonts w:ascii="Times New Roman" w:hAnsi="Times New Roman" w:cs="Times New Roman"/>
      <w:b/>
      <w:bCs/>
      <w:sz w:val="20"/>
      <w:szCs w:val="20"/>
    </w:rPr>
  </w:style>
  <w:style w:type="character" w:styleId="FontStyle100" w:customStyle="1">
    <w:name w:val="Font Style100"/>
    <w:uiPriority w:val="99"/>
    <w:qFormat/>
    <w:rsid w:val="0007003c"/>
    <w:rPr>
      <w:rFonts w:ascii="Tahoma" w:hAnsi="Tahoma" w:cs="Tahoma"/>
      <w:sz w:val="18"/>
      <w:szCs w:val="18"/>
    </w:rPr>
  </w:style>
  <w:style w:type="character" w:styleId="FontStyle108" w:customStyle="1">
    <w:name w:val="Font Style108"/>
    <w:uiPriority w:val="99"/>
    <w:qFormat/>
    <w:rsid w:val="00713592"/>
    <w:rPr>
      <w:rFonts w:ascii="Times New Roman" w:hAnsi="Times New Roman" w:cs="Times New Roman"/>
      <w:i/>
      <w:iCs/>
      <w:sz w:val="18"/>
      <w:szCs w:val="18"/>
    </w:rPr>
  </w:style>
  <w:style w:type="character" w:styleId="FontStyle109" w:customStyle="1">
    <w:name w:val="Font Style109"/>
    <w:uiPriority w:val="99"/>
    <w:qFormat/>
    <w:rsid w:val="00713592"/>
    <w:rPr>
      <w:rFonts w:ascii="Times New Roman" w:hAnsi="Times New Roman" w:cs="Times New Roman"/>
      <w:sz w:val="18"/>
      <w:szCs w:val="18"/>
    </w:rPr>
  </w:style>
  <w:style w:type="character" w:styleId="FontStyle114" w:customStyle="1">
    <w:name w:val="Font Style114"/>
    <w:uiPriority w:val="99"/>
    <w:qFormat/>
    <w:rsid w:val="00713592"/>
    <w:rPr>
      <w:rFonts w:ascii="Times New Roman" w:hAnsi="Times New Roman" w:cs="Times New Roman"/>
      <w:b/>
      <w:bCs/>
      <w:sz w:val="22"/>
      <w:szCs w:val="22"/>
    </w:rPr>
  </w:style>
  <w:style w:type="character" w:styleId="FontStyle111" w:customStyle="1">
    <w:name w:val="Font Style111"/>
    <w:uiPriority w:val="99"/>
    <w:qFormat/>
    <w:rsid w:val="00713592"/>
    <w:rPr>
      <w:rFonts w:ascii="Times New Roman" w:hAnsi="Times New Roman" w:cs="Times New Roman"/>
      <w:b/>
      <w:bCs/>
      <w:i/>
      <w:iCs/>
      <w:sz w:val="18"/>
      <w:szCs w:val="18"/>
    </w:rPr>
  </w:style>
  <w:style w:type="character" w:styleId="Tekstpodstawowywcity3Znak" w:customStyle="1">
    <w:name w:val="Tekst podstawowy wcięty 3 Znak"/>
    <w:link w:val="Tekstpodstawowywcity3"/>
    <w:uiPriority w:val="99"/>
    <w:qFormat/>
    <w:rsid w:val="005532a0"/>
    <w:rPr>
      <w:rFonts w:ascii="Arial" w:hAnsi="Arial" w:eastAsia="HumanistTripleSevenPL-Light" w:cs="Arial"/>
      <w:sz w:val="24"/>
      <w:szCs w:val="24"/>
      <w:lang w:eastAsia="pl-PL"/>
    </w:rPr>
  </w:style>
  <w:style w:type="character" w:styleId="HTMLwstpniesformatowanyZnak" w:customStyle="1">
    <w:name w:val="HTML - wstępnie sformatowany Znak"/>
    <w:link w:val="HTML-wstpniesformatowany"/>
    <w:qFormat/>
    <w:rsid w:val="005532a0"/>
    <w:rPr>
      <w:rFonts w:ascii="Arial Unicode MS" w:hAnsi="Arial Unicode MS" w:eastAsia="Arial Unicode MS" w:cs="Times New Roman"/>
      <w:color w:val="000000"/>
      <w:sz w:val="20"/>
      <w:szCs w:val="20"/>
      <w:lang w:eastAsia="pl-PL"/>
    </w:rPr>
  </w:style>
  <w:style w:type="character" w:styleId="Strong">
    <w:name w:val="Strong"/>
    <w:uiPriority w:val="22"/>
    <w:qFormat/>
    <w:rsid w:val="005532a0"/>
    <w:rPr>
      <w:b/>
      <w:bCs/>
    </w:rPr>
  </w:style>
  <w:style w:type="character" w:styleId="Wyrnienie">
    <w:name w:val="Wyróżnienie"/>
    <w:uiPriority w:val="20"/>
    <w:qFormat/>
    <w:rsid w:val="005532a0"/>
    <w:rPr>
      <w:i/>
      <w:iCs/>
    </w:rPr>
  </w:style>
  <w:style w:type="character" w:styleId="Solarsentinel" w:customStyle="1">
    <w:name w:val="solarsentinel"/>
    <w:basedOn w:val="DefaultParagraphFont"/>
    <w:qFormat/>
    <w:rsid w:val="005532a0"/>
    <w:rPr/>
  </w:style>
  <w:style w:type="character" w:styleId="FontStyle71" w:customStyle="1">
    <w:name w:val="Font Style71"/>
    <w:uiPriority w:val="99"/>
    <w:qFormat/>
    <w:rsid w:val="005532a0"/>
    <w:rPr>
      <w:rFonts w:ascii="Arial Black" w:hAnsi="Arial Black" w:cs="Arial Black"/>
      <w:i/>
      <w:iCs/>
      <w:sz w:val="18"/>
      <w:szCs w:val="18"/>
    </w:rPr>
  </w:style>
  <w:style w:type="character" w:styleId="FontStyle72" w:customStyle="1">
    <w:name w:val="Font Style72"/>
    <w:uiPriority w:val="99"/>
    <w:qFormat/>
    <w:rsid w:val="005532a0"/>
    <w:rPr>
      <w:rFonts w:ascii="Times New Roman" w:hAnsi="Times New Roman" w:cs="Times New Roman"/>
      <w:i/>
      <w:iCs/>
      <w:sz w:val="20"/>
      <w:szCs w:val="20"/>
    </w:rPr>
  </w:style>
  <w:style w:type="character" w:styleId="FontStyle128" w:customStyle="1">
    <w:name w:val="Font Style128"/>
    <w:uiPriority w:val="99"/>
    <w:qFormat/>
    <w:rsid w:val="005532a0"/>
    <w:rPr>
      <w:rFonts w:ascii="Tahoma" w:hAnsi="Tahoma" w:cs="Tahoma"/>
      <w:b/>
      <w:bCs/>
      <w:sz w:val="18"/>
      <w:szCs w:val="18"/>
    </w:rPr>
  </w:style>
  <w:style w:type="character" w:styleId="FontStyle171" w:customStyle="1">
    <w:name w:val="Font Style171"/>
    <w:uiPriority w:val="99"/>
    <w:qFormat/>
    <w:rsid w:val="005532a0"/>
    <w:rPr>
      <w:rFonts w:ascii="Times New Roman" w:hAnsi="Times New Roman" w:cs="Times New Roman"/>
      <w:sz w:val="20"/>
      <w:szCs w:val="20"/>
    </w:rPr>
  </w:style>
  <w:style w:type="character" w:styleId="FontStyle220" w:customStyle="1">
    <w:name w:val="Font Style220"/>
    <w:uiPriority w:val="99"/>
    <w:qFormat/>
    <w:rsid w:val="005532a0"/>
    <w:rPr>
      <w:rFonts w:ascii="Times New Roman" w:hAnsi="Times New Roman" w:cs="Times New Roman"/>
      <w:b/>
      <w:bCs/>
      <w:sz w:val="20"/>
      <w:szCs w:val="20"/>
    </w:rPr>
  </w:style>
  <w:style w:type="character" w:styleId="FontStyle170" w:customStyle="1">
    <w:name w:val="Font Style170"/>
    <w:uiPriority w:val="99"/>
    <w:qFormat/>
    <w:rsid w:val="005532a0"/>
    <w:rPr>
      <w:rFonts w:ascii="Times New Roman" w:hAnsi="Times New Roman" w:cs="Times New Roman"/>
      <w:b/>
      <w:bCs/>
      <w:sz w:val="20"/>
      <w:szCs w:val="20"/>
    </w:rPr>
  </w:style>
  <w:style w:type="character" w:styleId="FontStyle66" w:customStyle="1">
    <w:name w:val="Font Style66"/>
    <w:uiPriority w:val="99"/>
    <w:qFormat/>
    <w:rsid w:val="005532a0"/>
    <w:rPr>
      <w:rFonts w:ascii="Times New Roman" w:hAnsi="Times New Roman" w:cs="Times New Roman"/>
      <w:b/>
      <w:bCs/>
      <w:spacing w:val="-10"/>
      <w:sz w:val="36"/>
      <w:szCs w:val="36"/>
    </w:rPr>
  </w:style>
  <w:style w:type="character" w:styleId="FontStyle89" w:customStyle="1">
    <w:name w:val="Font Style89"/>
    <w:uiPriority w:val="99"/>
    <w:qFormat/>
    <w:rsid w:val="005532a0"/>
    <w:rPr>
      <w:rFonts w:ascii="Times New Roman" w:hAnsi="Times New Roman" w:cs="Times New Roman"/>
      <w:b/>
      <w:bCs/>
      <w:sz w:val="20"/>
      <w:szCs w:val="20"/>
    </w:rPr>
  </w:style>
  <w:style w:type="character" w:styleId="Luchili" w:customStyle="1">
    <w:name w:val="luchili"/>
    <w:basedOn w:val="DefaultParagraphFont"/>
    <w:uiPriority w:val="99"/>
    <w:qFormat/>
    <w:rsid w:val="006339a9"/>
    <w:rPr/>
  </w:style>
  <w:style w:type="character" w:styleId="Txtnew" w:customStyle="1">
    <w:name w:val="txt-new"/>
    <w:basedOn w:val="DefaultParagraphFont"/>
    <w:uiPriority w:val="99"/>
    <w:qFormat/>
    <w:rsid w:val="006339a9"/>
    <w:rPr/>
  </w:style>
  <w:style w:type="character" w:styleId="Txtold" w:customStyle="1">
    <w:name w:val="txt-old"/>
    <w:basedOn w:val="DefaultParagraphFont"/>
    <w:qFormat/>
    <w:rsid w:val="006339a9"/>
    <w:rPr/>
  </w:style>
  <w:style w:type="character" w:styleId="Applestylespan" w:customStyle="1">
    <w:name w:val="apple-style-span"/>
    <w:basedOn w:val="DefaultParagraphFont"/>
    <w:qFormat/>
    <w:rsid w:val="00184b01"/>
    <w:rPr/>
  </w:style>
  <w:style w:type="character" w:styleId="Appleconvertedspace" w:customStyle="1">
    <w:name w:val="apple-converted-space"/>
    <w:basedOn w:val="DefaultParagraphFont"/>
    <w:qFormat/>
    <w:rsid w:val="00184b01"/>
    <w:rPr/>
  </w:style>
  <w:style w:type="character" w:styleId="TekstpodstawowyzwciciemZnak" w:customStyle="1">
    <w:name w:val="Tekst podstawowy z wcięciem Znak"/>
    <w:link w:val="Tekstpodstawowyzwciciem"/>
    <w:uiPriority w:val="99"/>
    <w:qFormat/>
    <w:rsid w:val="001c6f11"/>
    <w:rPr>
      <w:sz w:val="22"/>
      <w:szCs w:val="22"/>
    </w:rPr>
  </w:style>
  <w:style w:type="character" w:styleId="Tekstpodstawowyzwciciem2Znak" w:customStyle="1">
    <w:name w:val="Tekst podstawowy z wcięciem 2 Znak"/>
    <w:link w:val="Tekstpodstawowyzwciciem2"/>
    <w:uiPriority w:val="99"/>
    <w:qFormat/>
    <w:rsid w:val="001c6f11"/>
    <w:rPr>
      <w:rFonts w:ascii="Times New Roman" w:hAnsi="Times New Roman" w:eastAsia="Times New Roman" w:cs="Times New Roman"/>
      <w:sz w:val="22"/>
      <w:szCs w:val="22"/>
      <w:lang w:eastAsia="pl-PL"/>
    </w:rPr>
  </w:style>
  <w:style w:type="character" w:styleId="PodtytuZnak" w:customStyle="1">
    <w:name w:val="Podtytuł Znak"/>
    <w:link w:val="Podtytu"/>
    <w:uiPriority w:val="11"/>
    <w:qFormat/>
    <w:rsid w:val="00110d26"/>
    <w:rPr>
      <w:rFonts w:ascii="Arial" w:hAnsi="Arial" w:eastAsia="Times New Roman" w:cs="Times New Roman"/>
      <w:b/>
      <w:i/>
      <w:iCs/>
      <w:spacing w:val="15"/>
      <w:sz w:val="18"/>
      <w:szCs w:val="24"/>
    </w:rPr>
  </w:style>
  <w:style w:type="character" w:styleId="H1" w:customStyle="1">
    <w:name w:val="h1"/>
    <w:basedOn w:val="DefaultParagraphFont"/>
    <w:qFormat/>
    <w:rsid w:val="00cf16ec"/>
    <w:rPr/>
  </w:style>
  <w:style w:type="character" w:styleId="Normbold" w:customStyle="1">
    <w:name w:val="normbold"/>
    <w:basedOn w:val="DefaultParagraphFont"/>
    <w:qFormat/>
    <w:rsid w:val="00383911"/>
    <w:rPr/>
  </w:style>
  <w:style w:type="character" w:styleId="St" w:customStyle="1">
    <w:name w:val="st"/>
    <w:basedOn w:val="DefaultParagraphFont"/>
    <w:qFormat/>
    <w:rsid w:val="00240815"/>
    <w:rPr/>
  </w:style>
  <w:style w:type="character" w:styleId="Teksttreci" w:customStyle="1">
    <w:name w:val="Tekst treści_"/>
    <w:link w:val="Teksttreci0"/>
    <w:qFormat/>
    <w:rsid w:val="007e29e9"/>
    <w:rPr>
      <w:rFonts w:ascii="Times New Roman" w:hAnsi="Times New Roman"/>
      <w:sz w:val="22"/>
      <w:szCs w:val="22"/>
      <w:shd w:fill="FFFFFF" w:val="clear"/>
    </w:rPr>
  </w:style>
  <w:style w:type="character" w:styleId="H11" w:customStyle="1">
    <w:name w:val="h11"/>
    <w:qFormat/>
    <w:rsid w:val="004e4b15"/>
    <w:rPr>
      <w:rFonts w:ascii="Verdana" w:hAnsi="Verdana"/>
      <w:b/>
      <w:bCs/>
      <w:i w:val="false"/>
      <w:iCs w:val="false"/>
      <w:sz w:val="23"/>
      <w:szCs w:val="23"/>
    </w:rPr>
  </w:style>
  <w:style w:type="character" w:styleId="Tabulatory" w:customStyle="1">
    <w:name w:val="tabulatory"/>
    <w:qFormat/>
    <w:rsid w:val="004e4b15"/>
    <w:rPr/>
  </w:style>
  <w:style w:type="character" w:styleId="Tekstpodstawowywcity2Znak" w:customStyle="1">
    <w:name w:val="Tekst podstawowy wcięty 2 Znak"/>
    <w:link w:val="Tekstpodstawowywcity2"/>
    <w:uiPriority w:val="99"/>
    <w:semiHidden/>
    <w:qFormat/>
    <w:rsid w:val="009c708f"/>
    <w:rPr>
      <w:sz w:val="22"/>
      <w:szCs w:val="22"/>
    </w:rPr>
  </w:style>
  <w:style w:type="character" w:styleId="Teksttreci7" w:customStyle="1">
    <w:name w:val="Tekst treści (7)"/>
    <w:qFormat/>
    <w:rsid w:val="00e8331a"/>
    <w:rPr>
      <w:rFonts w:ascii="Arial Narrow" w:hAnsi="Arial Narrow" w:eastAsia="Arial Narrow" w:cs="Arial Narrow"/>
      <w:b w:val="false"/>
      <w:bCs w:val="false"/>
      <w:i w:val="false"/>
      <w:iCs w:val="false"/>
      <w:caps w:val="false"/>
      <w:smallCaps w:val="false"/>
      <w:strike w:val="false"/>
      <w:dstrike w:val="false"/>
      <w:color w:val="FFFFFF"/>
      <w:spacing w:val="0"/>
      <w:sz w:val="17"/>
      <w:szCs w:val="17"/>
    </w:rPr>
  </w:style>
  <w:style w:type="character" w:styleId="Teksttreci16" w:customStyle="1">
    <w:name w:val="Tekst treści (16)_"/>
    <w:link w:val="Teksttreci160"/>
    <w:qFormat/>
    <w:rsid w:val="00e8331a"/>
    <w:rPr>
      <w:rFonts w:ascii="Arial Narrow" w:hAnsi="Arial Narrow" w:eastAsia="Arial Narrow" w:cs="Arial Narrow"/>
      <w:sz w:val="17"/>
      <w:szCs w:val="17"/>
      <w:shd w:fill="FFFFFF" w:val="clear"/>
    </w:rPr>
  </w:style>
  <w:style w:type="character" w:styleId="Teksttreci19" w:customStyle="1">
    <w:name w:val="Tekst treści (19)"/>
    <w:qFormat/>
    <w:rsid w:val="00e8331a"/>
    <w:rPr>
      <w:rFonts w:ascii="Arial Narrow" w:hAnsi="Arial Narrow" w:eastAsia="Arial Narrow" w:cs="Arial Narrow"/>
      <w:b w:val="false"/>
      <w:bCs w:val="false"/>
      <w:i w:val="false"/>
      <w:iCs w:val="false"/>
      <w:caps w:val="false"/>
      <w:smallCaps w:val="false"/>
      <w:strike w:val="false"/>
      <w:dstrike w:val="false"/>
      <w:color w:val="FFFFFF"/>
      <w:spacing w:val="0"/>
      <w:w w:val="100"/>
      <w:sz w:val="17"/>
      <w:szCs w:val="17"/>
    </w:rPr>
  </w:style>
  <w:style w:type="character" w:styleId="Podpistabeli2" w:customStyle="1">
    <w:name w:val="Podpis tabeli (2)_"/>
    <w:link w:val="Podpistabeli20"/>
    <w:qFormat/>
    <w:rsid w:val="00e8331a"/>
    <w:rPr>
      <w:rFonts w:ascii="Arial Narrow" w:hAnsi="Arial Narrow" w:eastAsia="Arial Narrow" w:cs="Arial Narrow"/>
      <w:sz w:val="17"/>
      <w:szCs w:val="17"/>
      <w:shd w:fill="FFFFFF" w:val="clear"/>
    </w:rPr>
  </w:style>
  <w:style w:type="character" w:styleId="Nagwek41" w:customStyle="1">
    <w:name w:val="Nagłówek #4_"/>
    <w:link w:val="Nagwek41"/>
    <w:qFormat/>
    <w:rsid w:val="00e8331a"/>
    <w:rPr>
      <w:rFonts w:ascii="Arial Narrow" w:hAnsi="Arial Narrow" w:eastAsia="Arial Narrow" w:cs="Arial Narrow"/>
      <w:shd w:fill="FFFFFF" w:val="clear"/>
    </w:rPr>
  </w:style>
  <w:style w:type="character" w:styleId="TeksttreciKursywa" w:customStyle="1">
    <w:name w:val="Tekst treści + Kursywa"/>
    <w:qFormat/>
    <w:rsid w:val="00184b4d"/>
    <w:rPr>
      <w:rFonts w:ascii="Arial Narrow" w:hAnsi="Arial Narrow" w:eastAsia="Arial Narrow" w:cs="Arial Narrow"/>
      <w:i/>
      <w:iCs/>
      <w:sz w:val="20"/>
      <w:szCs w:val="20"/>
      <w:shd w:fill="FFFFFF" w:val="clear"/>
    </w:rPr>
  </w:style>
  <w:style w:type="character" w:styleId="Luchili1" w:customStyle="1">
    <w:name w:val="luc_hili"/>
    <w:basedOn w:val="DefaultParagraphFont"/>
    <w:qFormat/>
    <w:rsid w:val="00350a76"/>
    <w:rPr/>
  </w:style>
  <w:style w:type="character" w:styleId="BezodstpwZnak" w:customStyle="1">
    <w:name w:val="Bez odstępów Znak"/>
    <w:link w:val="Bezodstpw"/>
    <w:qFormat/>
    <w:rsid w:val="0090580a"/>
    <w:rPr>
      <w:sz w:val="22"/>
      <w:szCs w:val="22"/>
    </w:rPr>
  </w:style>
  <w:style w:type="character" w:styleId="LegendaZnak" w:customStyle="1">
    <w:name w:val="legenda Znak"/>
    <w:link w:val="legenda0"/>
    <w:qFormat/>
    <w:rsid w:val="0090580a"/>
    <w:rPr>
      <w:rFonts w:ascii="Arial Narrow" w:hAnsi="Arial Narrow" w:eastAsia="Calibri"/>
      <w:b/>
    </w:rPr>
  </w:style>
  <w:style w:type="character" w:styleId="TekstprzypisudolnegoZnak" w:customStyle="1">
    <w:name w:val="Tekst przypisu dolnego Znak"/>
    <w:basedOn w:val="DefaultParagraphFont"/>
    <w:link w:val="Tekstprzypisudolnego"/>
    <w:semiHidden/>
    <w:qFormat/>
    <w:rsid w:val="00c12bc9"/>
    <w:rPr/>
  </w:style>
  <w:style w:type="character" w:styleId="Zakotwiczenieprzypisudolnego">
    <w:name w:val="Zakotwiczenie przypisu dolnego"/>
    <w:rPr>
      <w:vertAlign w:val="superscript"/>
    </w:rPr>
  </w:style>
  <w:style w:type="character" w:styleId="FootnoteCharacters">
    <w:name w:val="Footnote Characters"/>
    <w:basedOn w:val="DefaultParagraphFont"/>
    <w:semiHidden/>
    <w:unhideWhenUsed/>
    <w:qFormat/>
    <w:rsid w:val="00c12bc9"/>
    <w:rPr>
      <w:vertAlign w:val="superscript"/>
    </w:rPr>
  </w:style>
  <w:style w:type="character" w:styleId="UnresolvedMention">
    <w:name w:val="Unresolved Mention"/>
    <w:basedOn w:val="DefaultParagraphFont"/>
    <w:uiPriority w:val="99"/>
    <w:semiHidden/>
    <w:unhideWhenUsed/>
    <w:qFormat/>
    <w:rsid w:val="00f7417c"/>
    <w:rPr>
      <w:color w:val="605E5C"/>
      <w:shd w:fill="E1DFDD" w:val="clear"/>
    </w:rPr>
  </w:style>
  <w:style w:type="character" w:styleId="Nagwek9Znak" w:customStyle="1">
    <w:name w:val="Nagłówek 9 Znak"/>
    <w:basedOn w:val="DefaultParagraphFont"/>
    <w:link w:val="Nagwek9"/>
    <w:qFormat/>
    <w:rsid w:val="007639ae"/>
    <w:rPr>
      <w:rFonts w:ascii="Cambria" w:hAnsi="Cambria"/>
      <w:i/>
      <w:iCs/>
      <w:color w:val="404040"/>
      <w:lang w:eastAsia="en-US"/>
    </w:rPr>
  </w:style>
  <w:style w:type="character" w:styleId="ListLabel1">
    <w:name w:val="ListLabel 1"/>
    <w:qFormat/>
    <w:rPr>
      <w:rFonts w:ascii="Arial" w:hAnsi="Arial"/>
      <w:b/>
      <w:sz w:val="24"/>
    </w:rPr>
  </w:style>
  <w:style w:type="character" w:styleId="ListLabel2">
    <w:name w:val="ListLabel 2"/>
    <w:qFormat/>
    <w:rPr>
      <w:rFonts w:ascii="Arial" w:hAnsi="Arial"/>
      <w:b/>
      <w:sz w:val="24"/>
    </w:rPr>
  </w:style>
  <w:style w:type="character" w:styleId="ListLabel3">
    <w:name w:val="ListLabel 3"/>
    <w:qFormat/>
    <w:rPr>
      <w:rFonts w:ascii="Arial" w:hAnsi="Arial"/>
      <w:b/>
      <w:sz w:val="24"/>
    </w:rPr>
  </w:style>
  <w:style w:type="character" w:styleId="ListLabel4">
    <w:name w:val="ListLabel 4"/>
    <w:qFormat/>
    <w:rPr>
      <w:i/>
    </w:rPr>
  </w:style>
  <w:style w:type="character" w:styleId="ListLabel5">
    <w:name w:val="ListLabel 5"/>
    <w:qFormat/>
    <w:rPr>
      <w:rFonts w:ascii="Arial" w:hAnsi="Arial"/>
      <w:b/>
      <w:sz w:val="22"/>
    </w:rPr>
  </w:style>
  <w:style w:type="character" w:styleId="ListLabel6">
    <w:name w:val="ListLabel 6"/>
    <w:qFormat/>
    <w:rPr>
      <w:b/>
    </w:rPr>
  </w:style>
  <w:style w:type="character" w:styleId="ListLabel7">
    <w:name w:val="ListLabel 7"/>
    <w:qFormat/>
    <w:rPr>
      <w:rFonts w:ascii="Arial" w:hAnsi="Arial"/>
      <w:b/>
    </w:rPr>
  </w:style>
  <w:style w:type="character" w:styleId="ListLabel8">
    <w:name w:val="ListLabel 8"/>
    <w:qFormat/>
    <w:rPr>
      <w:rFonts w:cs="Courier New"/>
    </w:rPr>
  </w:style>
  <w:style w:type="character" w:styleId="ListLabel9">
    <w:name w:val="ListLabel 9"/>
    <w:qFormat/>
    <w:rPr>
      <w:rFonts w:cs="Courier New"/>
    </w:rPr>
  </w:style>
  <w:style w:type="character" w:styleId="ListLabel10">
    <w:name w:val="ListLabel 10"/>
    <w:qFormat/>
    <w:rPr>
      <w:rFonts w:cs="Courier New"/>
    </w:rPr>
  </w:style>
  <w:style w:type="character" w:styleId="ListLabel11">
    <w:name w:val="ListLabel 11"/>
    <w:qFormat/>
    <w:rPr>
      <w:rFonts w:ascii="Arial" w:hAnsi="Arial"/>
      <w:sz w:val="24"/>
      <w:szCs w:val="24"/>
    </w:rPr>
  </w:style>
  <w:style w:type="character" w:styleId="ListLabel12">
    <w:name w:val="ListLabel 12"/>
    <w:qFormat/>
    <w:rPr>
      <w:rFonts w:cs="Courier New"/>
    </w:rPr>
  </w:style>
  <w:style w:type="character" w:styleId="ListLabel13">
    <w:name w:val="ListLabel 13"/>
    <w:qFormat/>
    <w:rPr>
      <w:rFonts w:cs="Courier New"/>
    </w:rPr>
  </w:style>
  <w:style w:type="character" w:styleId="ListLabel14">
    <w:name w:val="ListLabel 14"/>
    <w:qFormat/>
    <w:rPr>
      <w:rFonts w:cs="Courier New"/>
    </w:rPr>
  </w:style>
  <w:style w:type="character" w:styleId="ListLabel15">
    <w:name w:val="ListLabel 15"/>
    <w:qFormat/>
    <w:rPr>
      <w:rFonts w:cs="Courier New"/>
    </w:rPr>
  </w:style>
  <w:style w:type="character" w:styleId="ListLabel16">
    <w:name w:val="ListLabel 16"/>
    <w:qFormat/>
    <w:rPr>
      <w:rFonts w:cs="Courier New"/>
    </w:rPr>
  </w:style>
  <w:style w:type="character" w:styleId="ListLabel17">
    <w:name w:val="ListLabel 17"/>
    <w:qFormat/>
    <w:rPr>
      <w:rFonts w:cs="Courier New"/>
    </w:rPr>
  </w:style>
  <w:style w:type="character" w:styleId="ListLabel18">
    <w:name w:val="ListLabel 18"/>
    <w:qFormat/>
    <w:rPr>
      <w:rFonts w:cs="Courier New"/>
    </w:rPr>
  </w:style>
  <w:style w:type="character" w:styleId="ListLabel19">
    <w:name w:val="ListLabel 19"/>
    <w:qFormat/>
    <w:rPr>
      <w:rFonts w:cs="Courier New"/>
    </w:rPr>
  </w:style>
  <w:style w:type="character" w:styleId="ListLabel20">
    <w:name w:val="ListLabel 20"/>
    <w:qFormat/>
    <w:rPr>
      <w:rFonts w:cs="Courier New"/>
    </w:rPr>
  </w:style>
  <w:style w:type="character" w:styleId="ListLabel21">
    <w:name w:val="ListLabel 21"/>
    <w:qFormat/>
    <w:rPr>
      <w:rFonts w:cs="Courier New"/>
    </w:rPr>
  </w:style>
  <w:style w:type="character" w:styleId="ListLabel22">
    <w:name w:val="ListLabel 22"/>
    <w:qFormat/>
    <w:rPr>
      <w:rFonts w:cs="Courier New"/>
    </w:rPr>
  </w:style>
  <w:style w:type="character" w:styleId="ListLabel23">
    <w:name w:val="ListLabel 23"/>
    <w:qFormat/>
    <w:rPr>
      <w:rFonts w:cs="Courier New"/>
    </w:rPr>
  </w:style>
  <w:style w:type="character" w:styleId="ListLabel24">
    <w:name w:val="ListLabel 24"/>
    <w:qFormat/>
    <w:rPr>
      <w:rFonts w:cs="Courier New"/>
    </w:rPr>
  </w:style>
  <w:style w:type="character" w:styleId="ListLabel25">
    <w:name w:val="ListLabel 25"/>
    <w:qFormat/>
    <w:rPr>
      <w:rFonts w:cs="Courier New"/>
    </w:rPr>
  </w:style>
  <w:style w:type="character" w:styleId="ListLabel26">
    <w:name w:val="ListLabel 26"/>
    <w:qFormat/>
    <w:rPr>
      <w:rFonts w:cs="Courier New"/>
    </w:rPr>
  </w:style>
  <w:style w:type="character" w:styleId="ListLabel27">
    <w:name w:val="ListLabel 27"/>
    <w:qFormat/>
    <w:rPr>
      <w:rFonts w:cs="Courier New"/>
    </w:rPr>
  </w:style>
  <w:style w:type="character" w:styleId="ListLabel28">
    <w:name w:val="ListLabel 28"/>
    <w:qFormat/>
    <w:rPr>
      <w:rFonts w:cs="Courier New"/>
    </w:rPr>
  </w:style>
  <w:style w:type="character" w:styleId="ListLabel29">
    <w:name w:val="ListLabel 29"/>
    <w:qFormat/>
    <w:rPr>
      <w:rFonts w:cs="Courier New"/>
    </w:rPr>
  </w:style>
  <w:style w:type="character" w:styleId="ListLabel30">
    <w:name w:val="ListLabel 30"/>
    <w:qFormat/>
    <w:rPr>
      <w:rFonts w:cs="Courier New"/>
    </w:rPr>
  </w:style>
  <w:style w:type="character" w:styleId="ListLabel31">
    <w:name w:val="ListLabel 31"/>
    <w:qFormat/>
    <w:rPr>
      <w:rFonts w:cs="Courier New"/>
    </w:rPr>
  </w:style>
  <w:style w:type="character" w:styleId="ListLabel32">
    <w:name w:val="ListLabel 32"/>
    <w:qFormat/>
    <w:rPr>
      <w:rFonts w:cs="Courier New"/>
    </w:rPr>
  </w:style>
  <w:style w:type="character" w:styleId="ListLabel33">
    <w:name w:val="ListLabel 33"/>
    <w:qFormat/>
    <w:rPr>
      <w:rFonts w:ascii="Arial" w:hAnsi="Arial" w:cs="Arial"/>
    </w:rPr>
  </w:style>
  <w:style w:type="character" w:styleId="ListLabel34">
    <w:name w:val="ListLabel 34"/>
    <w:qFormat/>
    <w:rPr>
      <w:rFonts w:ascii="Arial" w:hAnsi="Arial" w:cs="Arial"/>
    </w:rPr>
  </w:style>
  <w:style w:type="character" w:styleId="ListLabel35">
    <w:name w:val="ListLabel 35"/>
    <w:qFormat/>
    <w:rPr>
      <w:rFonts w:cs="Courier New"/>
    </w:rPr>
  </w:style>
  <w:style w:type="character" w:styleId="ListLabel36">
    <w:name w:val="ListLabel 36"/>
    <w:qFormat/>
    <w:rPr>
      <w:rFonts w:cs="Courier New"/>
    </w:rPr>
  </w:style>
  <w:style w:type="character" w:styleId="ListLabel37">
    <w:name w:val="ListLabel 37"/>
    <w:qFormat/>
    <w:rPr>
      <w:rFonts w:cs="Courier New"/>
    </w:rPr>
  </w:style>
  <w:style w:type="character" w:styleId="ListLabel38">
    <w:name w:val="ListLabel 38"/>
    <w:qFormat/>
    <w:rPr>
      <w:rFonts w:cs="Courier New"/>
    </w:rPr>
  </w:style>
  <w:style w:type="character" w:styleId="ListLabel39">
    <w:name w:val="ListLabel 39"/>
    <w:qFormat/>
    <w:rPr>
      <w:rFonts w:cs="Wingdings"/>
    </w:rPr>
  </w:style>
  <w:style w:type="character" w:styleId="ListLabel40">
    <w:name w:val="ListLabel 40"/>
    <w:qFormat/>
    <w:rPr>
      <w:rFonts w:cs="Symbol"/>
    </w:rPr>
  </w:style>
  <w:style w:type="character" w:styleId="ListLabel41">
    <w:name w:val="ListLabel 41"/>
    <w:qFormat/>
    <w:rPr>
      <w:rFonts w:cs="Courier New"/>
    </w:rPr>
  </w:style>
  <w:style w:type="character" w:styleId="ListLabel42">
    <w:name w:val="ListLabel 42"/>
    <w:qFormat/>
    <w:rPr>
      <w:rFonts w:cs="Wingdings"/>
    </w:rPr>
  </w:style>
  <w:style w:type="character" w:styleId="ListLabel43">
    <w:name w:val="ListLabel 43"/>
    <w:qFormat/>
    <w:rPr>
      <w:rFonts w:cs="Symbol"/>
    </w:rPr>
  </w:style>
  <w:style w:type="character" w:styleId="ListLabel44">
    <w:name w:val="ListLabel 44"/>
    <w:qFormat/>
    <w:rPr>
      <w:rFonts w:cs="Courier New"/>
    </w:rPr>
  </w:style>
  <w:style w:type="character" w:styleId="ListLabel45">
    <w:name w:val="ListLabel 45"/>
    <w:qFormat/>
    <w:rPr>
      <w:rFonts w:cs="Wingdings"/>
    </w:rPr>
  </w:style>
  <w:style w:type="character" w:styleId="ListLabel46">
    <w:name w:val="ListLabel 46"/>
    <w:qFormat/>
    <w:rPr>
      <w:rFonts w:eastAsia="Times New Roman" w:cs="Arial"/>
    </w:rPr>
  </w:style>
  <w:style w:type="character" w:styleId="ListLabel47">
    <w:name w:val="ListLabel 47"/>
    <w:qFormat/>
    <w:rPr>
      <w:rFonts w:cs="Courier New"/>
    </w:rPr>
  </w:style>
  <w:style w:type="character" w:styleId="ListLabel48">
    <w:name w:val="ListLabel 48"/>
    <w:qFormat/>
    <w:rPr>
      <w:rFonts w:cs="Courier New"/>
    </w:rPr>
  </w:style>
  <w:style w:type="character" w:styleId="ListLabel49">
    <w:name w:val="ListLabel 49"/>
    <w:qFormat/>
    <w:rPr>
      <w:rFonts w:cs="Courier New"/>
    </w:rPr>
  </w:style>
  <w:style w:type="character" w:styleId="ListLabel50">
    <w:name w:val="ListLabel 50"/>
    <w:qFormat/>
    <w:rPr>
      <w:rFonts w:cs="Courier New"/>
    </w:rPr>
  </w:style>
  <w:style w:type="character" w:styleId="ListLabel51">
    <w:name w:val="ListLabel 51"/>
    <w:qFormat/>
    <w:rPr>
      <w:rFonts w:cs="Courier New"/>
    </w:rPr>
  </w:style>
  <w:style w:type="character" w:styleId="ListLabel52">
    <w:name w:val="ListLabel 52"/>
    <w:qFormat/>
    <w:rPr>
      <w:rFonts w:ascii="Arial" w:hAnsi="Arial" w:cs="Arial"/>
    </w:rPr>
  </w:style>
  <w:style w:type="character" w:styleId="ListLabel53">
    <w:name w:val="ListLabel 53"/>
    <w:qFormat/>
    <w:rPr>
      <w:rFonts w:ascii="Arial" w:hAnsi="Arial" w:cs="Arial"/>
      <w:sz w:val="22"/>
    </w:rPr>
  </w:style>
  <w:style w:type="character" w:styleId="ListLabel54">
    <w:name w:val="ListLabel 54"/>
    <w:qFormat/>
    <w:rPr>
      <w:rFonts w:ascii="Arial" w:hAnsi="Arial" w:cs="Arial"/>
      <w:sz w:val="22"/>
    </w:rPr>
  </w:style>
  <w:style w:type="character" w:styleId="ListLabel55">
    <w:name w:val="ListLabel 55"/>
    <w:qFormat/>
    <w:rPr>
      <w:rFonts w:cs="Courier New"/>
    </w:rPr>
  </w:style>
  <w:style w:type="character" w:styleId="ListLabel56">
    <w:name w:val="ListLabel 56"/>
    <w:qFormat/>
    <w:rPr>
      <w:rFonts w:cs="Courier New"/>
    </w:rPr>
  </w:style>
  <w:style w:type="character" w:styleId="ListLabel57">
    <w:name w:val="ListLabel 57"/>
    <w:qFormat/>
    <w:rPr>
      <w:rFonts w:cs="Courier New"/>
    </w:rPr>
  </w:style>
  <w:style w:type="character" w:styleId="ListLabel58">
    <w:name w:val="ListLabel 58"/>
    <w:qFormat/>
    <w:rPr>
      <w:rFonts w:ascii="Arial" w:hAnsi="Arial" w:cs="Symbol"/>
    </w:rPr>
  </w:style>
  <w:style w:type="character" w:styleId="ListLabel59">
    <w:name w:val="ListLabel 59"/>
    <w:qFormat/>
    <w:rPr>
      <w:rFonts w:cs="Courier New"/>
    </w:rPr>
  </w:style>
  <w:style w:type="character" w:styleId="ListLabel60">
    <w:name w:val="ListLabel 60"/>
    <w:qFormat/>
    <w:rPr>
      <w:rFonts w:cs="Wingdings"/>
    </w:rPr>
  </w:style>
  <w:style w:type="character" w:styleId="ListLabel61">
    <w:name w:val="ListLabel 61"/>
    <w:qFormat/>
    <w:rPr>
      <w:rFonts w:cs="Symbol"/>
    </w:rPr>
  </w:style>
  <w:style w:type="character" w:styleId="ListLabel62">
    <w:name w:val="ListLabel 62"/>
    <w:qFormat/>
    <w:rPr>
      <w:rFonts w:cs="Courier New"/>
    </w:rPr>
  </w:style>
  <w:style w:type="character" w:styleId="ListLabel63">
    <w:name w:val="ListLabel 63"/>
    <w:qFormat/>
    <w:rPr>
      <w:rFonts w:cs="Wingdings"/>
    </w:rPr>
  </w:style>
  <w:style w:type="character" w:styleId="ListLabel64">
    <w:name w:val="ListLabel 64"/>
    <w:qFormat/>
    <w:rPr>
      <w:rFonts w:cs="Symbol"/>
    </w:rPr>
  </w:style>
  <w:style w:type="character" w:styleId="ListLabel65">
    <w:name w:val="ListLabel 65"/>
    <w:qFormat/>
    <w:rPr>
      <w:rFonts w:cs="Courier New"/>
    </w:rPr>
  </w:style>
  <w:style w:type="character" w:styleId="ListLabel66">
    <w:name w:val="ListLabel 66"/>
    <w:qFormat/>
    <w:rPr>
      <w:rFonts w:cs="Wingdings"/>
    </w:rPr>
  </w:style>
  <w:style w:type="character" w:styleId="ListLabel67">
    <w:name w:val="ListLabel 67"/>
    <w:qFormat/>
    <w:rPr>
      <w:rFonts w:ascii="Arial" w:hAnsi="Arial" w:cs="Symbol"/>
    </w:rPr>
  </w:style>
  <w:style w:type="character" w:styleId="ListLabel68">
    <w:name w:val="ListLabel 68"/>
    <w:qFormat/>
    <w:rPr>
      <w:rFonts w:cs="Courier New"/>
    </w:rPr>
  </w:style>
  <w:style w:type="character" w:styleId="ListLabel69">
    <w:name w:val="ListLabel 69"/>
    <w:qFormat/>
    <w:rPr>
      <w:rFonts w:cs="Wingdings"/>
    </w:rPr>
  </w:style>
  <w:style w:type="character" w:styleId="ListLabel70">
    <w:name w:val="ListLabel 70"/>
    <w:qFormat/>
    <w:rPr>
      <w:rFonts w:cs="Symbol"/>
    </w:rPr>
  </w:style>
  <w:style w:type="character" w:styleId="ListLabel71">
    <w:name w:val="ListLabel 71"/>
    <w:qFormat/>
    <w:rPr>
      <w:rFonts w:cs="Courier New"/>
    </w:rPr>
  </w:style>
  <w:style w:type="character" w:styleId="ListLabel72">
    <w:name w:val="ListLabel 72"/>
    <w:qFormat/>
    <w:rPr>
      <w:rFonts w:cs="Wingdings"/>
    </w:rPr>
  </w:style>
  <w:style w:type="character" w:styleId="ListLabel73">
    <w:name w:val="ListLabel 73"/>
    <w:qFormat/>
    <w:rPr>
      <w:rFonts w:cs="Symbol"/>
    </w:rPr>
  </w:style>
  <w:style w:type="character" w:styleId="ListLabel74">
    <w:name w:val="ListLabel 74"/>
    <w:qFormat/>
    <w:rPr>
      <w:rFonts w:cs="Courier New"/>
    </w:rPr>
  </w:style>
  <w:style w:type="character" w:styleId="ListLabel75">
    <w:name w:val="ListLabel 75"/>
    <w:qFormat/>
    <w:rPr>
      <w:rFonts w:cs="Wingdings"/>
    </w:rPr>
  </w:style>
  <w:style w:type="character" w:styleId="ListLabel76">
    <w:name w:val="ListLabel 76"/>
    <w:qFormat/>
    <w:rPr>
      <w:rFonts w:ascii="Arial" w:hAnsi="Arial" w:cs="Symbol"/>
      <w:b w:val="false"/>
    </w:rPr>
  </w:style>
  <w:style w:type="character" w:styleId="ListLabel77">
    <w:name w:val="ListLabel 77"/>
    <w:qFormat/>
    <w:rPr>
      <w:rFonts w:cs="Courier New"/>
    </w:rPr>
  </w:style>
  <w:style w:type="character" w:styleId="ListLabel78">
    <w:name w:val="ListLabel 78"/>
    <w:qFormat/>
    <w:rPr>
      <w:rFonts w:cs="Wingdings"/>
    </w:rPr>
  </w:style>
  <w:style w:type="character" w:styleId="ListLabel79">
    <w:name w:val="ListLabel 79"/>
    <w:qFormat/>
    <w:rPr>
      <w:rFonts w:cs="Symbol"/>
    </w:rPr>
  </w:style>
  <w:style w:type="character" w:styleId="ListLabel80">
    <w:name w:val="ListLabel 80"/>
    <w:qFormat/>
    <w:rPr>
      <w:rFonts w:cs="Courier New"/>
    </w:rPr>
  </w:style>
  <w:style w:type="character" w:styleId="ListLabel81">
    <w:name w:val="ListLabel 81"/>
    <w:qFormat/>
    <w:rPr>
      <w:rFonts w:cs="Wingdings"/>
    </w:rPr>
  </w:style>
  <w:style w:type="character" w:styleId="ListLabel82">
    <w:name w:val="ListLabel 82"/>
    <w:qFormat/>
    <w:rPr>
      <w:rFonts w:cs="Symbol"/>
    </w:rPr>
  </w:style>
  <w:style w:type="character" w:styleId="ListLabel83">
    <w:name w:val="ListLabel 83"/>
    <w:qFormat/>
    <w:rPr>
      <w:rFonts w:cs="Courier New"/>
    </w:rPr>
  </w:style>
  <w:style w:type="character" w:styleId="ListLabel84">
    <w:name w:val="ListLabel 84"/>
    <w:qFormat/>
    <w:rPr>
      <w:rFonts w:cs="Wingdings"/>
    </w:rPr>
  </w:style>
  <w:style w:type="character" w:styleId="ListLabel85">
    <w:name w:val="ListLabel 85"/>
    <w:qFormat/>
    <w:rPr>
      <w:rFonts w:cs="Courier New"/>
    </w:rPr>
  </w:style>
  <w:style w:type="character" w:styleId="ListLabel86">
    <w:name w:val="ListLabel 86"/>
    <w:qFormat/>
    <w:rPr>
      <w:rFonts w:cs="Courier New"/>
    </w:rPr>
  </w:style>
  <w:style w:type="character" w:styleId="ListLabel87">
    <w:name w:val="ListLabel 87"/>
    <w:qFormat/>
    <w:rPr>
      <w:rFonts w:cs="Courier New"/>
    </w:rPr>
  </w:style>
  <w:style w:type="character" w:styleId="ListLabel88">
    <w:name w:val="ListLabel 88"/>
    <w:qFormat/>
    <w:rPr>
      <w:rFonts w:cs="Courier New"/>
    </w:rPr>
  </w:style>
  <w:style w:type="character" w:styleId="ListLabel89">
    <w:name w:val="ListLabel 89"/>
    <w:qFormat/>
    <w:rPr>
      <w:rFonts w:cs="Courier New"/>
    </w:rPr>
  </w:style>
  <w:style w:type="character" w:styleId="ListLabel90">
    <w:name w:val="ListLabel 90"/>
    <w:qFormat/>
    <w:rPr>
      <w:rFonts w:cs="Courier New"/>
    </w:rPr>
  </w:style>
  <w:style w:type="character" w:styleId="ListLabel91">
    <w:name w:val="ListLabel 91"/>
    <w:qFormat/>
    <w:rPr>
      <w:rFonts w:cs="Courier New"/>
    </w:rPr>
  </w:style>
  <w:style w:type="character" w:styleId="ListLabel92">
    <w:name w:val="ListLabel 92"/>
    <w:qFormat/>
    <w:rPr>
      <w:rFonts w:cs="Courier New"/>
    </w:rPr>
  </w:style>
  <w:style w:type="character" w:styleId="ListLabel93">
    <w:name w:val="ListLabel 93"/>
    <w:qFormat/>
    <w:rPr>
      <w:rFonts w:cs="Courier New"/>
    </w:rPr>
  </w:style>
  <w:style w:type="character" w:styleId="ListLabel94">
    <w:name w:val="ListLabel 94"/>
    <w:qFormat/>
    <w:rPr>
      <w:rFonts w:cs="Courier New"/>
    </w:rPr>
  </w:style>
  <w:style w:type="character" w:styleId="ListLabel95">
    <w:name w:val="ListLabel 95"/>
    <w:qFormat/>
    <w:rPr>
      <w:rFonts w:cs="Courier New"/>
    </w:rPr>
  </w:style>
  <w:style w:type="character" w:styleId="ListLabel96">
    <w:name w:val="ListLabel 96"/>
    <w:qFormat/>
    <w:rPr>
      <w:rFonts w:cs="Courier New"/>
    </w:rPr>
  </w:style>
  <w:style w:type="character" w:styleId="ListLabel97">
    <w:name w:val="ListLabel 97"/>
    <w:qFormat/>
    <w:rPr>
      <w:rFonts w:cs="Courier New"/>
    </w:rPr>
  </w:style>
  <w:style w:type="character" w:styleId="ListLabel98">
    <w:name w:val="ListLabel 98"/>
    <w:qFormat/>
    <w:rPr>
      <w:rFonts w:cs="Courier New"/>
    </w:rPr>
  </w:style>
  <w:style w:type="character" w:styleId="ListLabel99">
    <w:name w:val="ListLabel 99"/>
    <w:qFormat/>
    <w:rPr>
      <w:rFonts w:cs="Courier New"/>
    </w:rPr>
  </w:style>
  <w:style w:type="character" w:styleId="ListLabel100">
    <w:name w:val="ListLabel 100"/>
    <w:qFormat/>
    <w:rPr>
      <w:rFonts w:cs="Courier New"/>
    </w:rPr>
  </w:style>
  <w:style w:type="character" w:styleId="ListLabel101">
    <w:name w:val="ListLabel 101"/>
    <w:qFormat/>
    <w:rPr>
      <w:rFonts w:cs="Courier New"/>
    </w:rPr>
  </w:style>
  <w:style w:type="character" w:styleId="ListLabel102">
    <w:name w:val="ListLabel 102"/>
    <w:qFormat/>
    <w:rPr>
      <w:rFonts w:cs="Courier New"/>
    </w:rPr>
  </w:style>
  <w:style w:type="character" w:styleId="ListLabel103">
    <w:name w:val="ListLabel 103"/>
    <w:qFormat/>
    <w:rPr>
      <w:rFonts w:cs="Courier New"/>
    </w:rPr>
  </w:style>
  <w:style w:type="character" w:styleId="ListLabel104">
    <w:name w:val="ListLabel 104"/>
    <w:qFormat/>
    <w:rPr>
      <w:rFonts w:cs="Courier New"/>
    </w:rPr>
  </w:style>
  <w:style w:type="character" w:styleId="ListLabel105">
    <w:name w:val="ListLabel 105"/>
    <w:qFormat/>
    <w:rPr>
      <w:rFonts w:cs="Courier New"/>
    </w:rPr>
  </w:style>
  <w:style w:type="character" w:styleId="ListLabel106">
    <w:name w:val="ListLabel 106"/>
    <w:qFormat/>
    <w:rPr>
      <w:rFonts w:cs="Courier New"/>
    </w:rPr>
  </w:style>
  <w:style w:type="character" w:styleId="ListLabel107">
    <w:name w:val="ListLabel 107"/>
    <w:qFormat/>
    <w:rPr>
      <w:rFonts w:cs="Courier New"/>
    </w:rPr>
  </w:style>
  <w:style w:type="character" w:styleId="ListLabel108">
    <w:name w:val="ListLabel 108"/>
    <w:qFormat/>
    <w:rPr>
      <w:rFonts w:cs="Courier New"/>
    </w:rPr>
  </w:style>
  <w:style w:type="character" w:styleId="ListLabel109">
    <w:name w:val="ListLabel 109"/>
    <w:qFormat/>
    <w:rPr>
      <w:rFonts w:cs="Courier New"/>
    </w:rPr>
  </w:style>
  <w:style w:type="character" w:styleId="ListLabel110">
    <w:name w:val="ListLabel 110"/>
    <w:qFormat/>
    <w:rPr>
      <w:rFonts w:cs="Courier New"/>
    </w:rPr>
  </w:style>
  <w:style w:type="character" w:styleId="ListLabel111">
    <w:name w:val="ListLabel 111"/>
    <w:qFormat/>
    <w:rPr>
      <w:rFonts w:cs="Courier New"/>
    </w:rPr>
  </w:style>
  <w:style w:type="character" w:styleId="ListLabel112">
    <w:name w:val="ListLabel 112"/>
    <w:qFormat/>
    <w:rPr>
      <w:rFonts w:cs="Courier New"/>
    </w:rPr>
  </w:style>
  <w:style w:type="character" w:styleId="ListLabel113">
    <w:name w:val="ListLabel 113"/>
    <w:qFormat/>
    <w:rPr>
      <w:rFonts w:cs="Courier New"/>
    </w:rPr>
  </w:style>
  <w:style w:type="character" w:styleId="ListLabel114">
    <w:name w:val="ListLabel 114"/>
    <w:qFormat/>
    <w:rPr>
      <w:rFonts w:cs="Courier New"/>
    </w:rPr>
  </w:style>
  <w:style w:type="character" w:styleId="ListLabel115">
    <w:name w:val="ListLabel 115"/>
    <w:qFormat/>
    <w:rPr>
      <w:rFonts w:cs="Courier New"/>
    </w:rPr>
  </w:style>
  <w:style w:type="character" w:styleId="ListLabel116">
    <w:name w:val="ListLabel 116"/>
    <w:qFormat/>
    <w:rPr>
      <w:rFonts w:cs="Courier New"/>
    </w:rPr>
  </w:style>
  <w:style w:type="character" w:styleId="ListLabel117">
    <w:name w:val="ListLabel 117"/>
    <w:qFormat/>
    <w:rPr>
      <w:rFonts w:cs="Courier New"/>
    </w:rPr>
  </w:style>
  <w:style w:type="character" w:styleId="ListLabel118">
    <w:name w:val="ListLabel 118"/>
    <w:qFormat/>
    <w:rPr>
      <w:rFonts w:cs="Courier New"/>
    </w:rPr>
  </w:style>
  <w:style w:type="character" w:styleId="ListLabel119">
    <w:name w:val="ListLabel 119"/>
    <w:qFormat/>
    <w:rPr>
      <w:rFonts w:cs="Courier New"/>
    </w:rPr>
  </w:style>
  <w:style w:type="character" w:styleId="ListLabel120">
    <w:name w:val="ListLabel 120"/>
    <w:qFormat/>
    <w:rPr>
      <w:rFonts w:cs="Courier New"/>
    </w:rPr>
  </w:style>
  <w:style w:type="character" w:styleId="ListLabel121">
    <w:name w:val="ListLabel 121"/>
    <w:qFormat/>
    <w:rPr>
      <w:rFonts w:ascii="Arial" w:hAnsi="Arial" w:cs="Symbol"/>
    </w:rPr>
  </w:style>
  <w:style w:type="character" w:styleId="ListLabel122">
    <w:name w:val="ListLabel 122"/>
    <w:qFormat/>
    <w:rPr>
      <w:rFonts w:cs="Courier New"/>
    </w:rPr>
  </w:style>
  <w:style w:type="character" w:styleId="ListLabel123">
    <w:name w:val="ListLabel 123"/>
    <w:qFormat/>
    <w:rPr>
      <w:rFonts w:cs="Wingdings"/>
    </w:rPr>
  </w:style>
  <w:style w:type="character" w:styleId="ListLabel124">
    <w:name w:val="ListLabel 124"/>
    <w:qFormat/>
    <w:rPr>
      <w:rFonts w:cs="Symbol"/>
    </w:rPr>
  </w:style>
  <w:style w:type="character" w:styleId="ListLabel125">
    <w:name w:val="ListLabel 125"/>
    <w:qFormat/>
    <w:rPr>
      <w:rFonts w:cs="Courier New"/>
    </w:rPr>
  </w:style>
  <w:style w:type="character" w:styleId="ListLabel126">
    <w:name w:val="ListLabel 126"/>
    <w:qFormat/>
    <w:rPr>
      <w:rFonts w:cs="Wingdings"/>
    </w:rPr>
  </w:style>
  <w:style w:type="character" w:styleId="ListLabel127">
    <w:name w:val="ListLabel 127"/>
    <w:qFormat/>
    <w:rPr>
      <w:rFonts w:cs="Symbol"/>
    </w:rPr>
  </w:style>
  <w:style w:type="character" w:styleId="ListLabel128">
    <w:name w:val="ListLabel 128"/>
    <w:qFormat/>
    <w:rPr>
      <w:rFonts w:cs="Courier New"/>
    </w:rPr>
  </w:style>
  <w:style w:type="character" w:styleId="ListLabel129">
    <w:name w:val="ListLabel 129"/>
    <w:qFormat/>
    <w:rPr>
      <w:rFonts w:cs="Wingdings"/>
    </w:rPr>
  </w:style>
  <w:style w:type="character" w:styleId="ListLabel130">
    <w:name w:val="ListLabel 130"/>
    <w:qFormat/>
    <w:rPr>
      <w:rFonts w:ascii="Arial" w:hAnsi="Arial"/>
      <w:b/>
      <w:bCs w:val="false"/>
    </w:rPr>
  </w:style>
  <w:style w:type="character" w:styleId="ListLabel131">
    <w:name w:val="ListLabel 131"/>
    <w:qFormat/>
    <w:rPr>
      <w:rFonts w:ascii="Arial" w:hAnsi="Arial" w:cs="Arial"/>
      <w:color w:val="000000"/>
      <w:u w:val="none"/>
    </w:rPr>
  </w:style>
  <w:style w:type="character" w:styleId="ListLabel132">
    <w:name w:val="ListLabel 132"/>
    <w:qFormat/>
    <w:rPr>
      <w:rFonts w:ascii="Arial" w:hAnsi="Arial" w:cs="Arial"/>
      <w:i/>
      <w:color w:val="000000"/>
      <w:u w:val="none"/>
    </w:rPr>
  </w:style>
  <w:style w:type="character" w:styleId="Czeindeksu">
    <w:name w:val="Łącze indeksu"/>
    <w:qFormat/>
    <w:rPr/>
  </w:style>
  <w:style w:type="character" w:styleId="Znakiprzypiswdolnych">
    <w:name w:val="Znaki przypisów dolnych"/>
    <w:qFormat/>
    <w:rPr/>
  </w:style>
  <w:style w:type="character" w:styleId="Znakiprzypiswkocowych">
    <w:name w:val="Znaki przypisów końcowych"/>
    <w:qFormat/>
    <w:rPr/>
  </w:style>
  <w:style w:type="character" w:styleId="ListLabel133">
    <w:name w:val="ListLabel 133"/>
    <w:qFormat/>
    <w:rPr>
      <w:rFonts w:ascii="Arial" w:hAnsi="Arial"/>
      <w:b/>
      <w:sz w:val="24"/>
    </w:rPr>
  </w:style>
  <w:style w:type="character" w:styleId="ListLabel134">
    <w:name w:val="ListLabel 134"/>
    <w:qFormat/>
    <w:rPr>
      <w:rFonts w:ascii="Arial" w:hAnsi="Arial"/>
      <w:b/>
      <w:sz w:val="24"/>
    </w:rPr>
  </w:style>
  <w:style w:type="character" w:styleId="ListLabel135">
    <w:name w:val="ListLabel 135"/>
    <w:qFormat/>
    <w:rPr>
      <w:rFonts w:ascii="Arial" w:hAnsi="Arial"/>
      <w:b/>
      <w:sz w:val="24"/>
    </w:rPr>
  </w:style>
  <w:style w:type="character" w:styleId="ListLabel136">
    <w:name w:val="ListLabel 136"/>
    <w:qFormat/>
    <w:rPr>
      <w:i/>
    </w:rPr>
  </w:style>
  <w:style w:type="character" w:styleId="ListLabel137">
    <w:name w:val="ListLabel 137"/>
    <w:qFormat/>
    <w:rPr>
      <w:rFonts w:ascii="Arial" w:hAnsi="Arial"/>
      <w:b/>
      <w:sz w:val="22"/>
    </w:rPr>
  </w:style>
  <w:style w:type="character" w:styleId="ListLabel138">
    <w:name w:val="ListLabel 138"/>
    <w:qFormat/>
    <w:rPr>
      <w:b/>
    </w:rPr>
  </w:style>
  <w:style w:type="character" w:styleId="ListLabel139">
    <w:name w:val="ListLabel 139"/>
    <w:qFormat/>
    <w:rPr>
      <w:rFonts w:ascii="Arial" w:hAnsi="Arial"/>
      <w:b/>
    </w:rPr>
  </w:style>
  <w:style w:type="character" w:styleId="ListLabel140">
    <w:name w:val="ListLabel 140"/>
    <w:qFormat/>
    <w:rPr>
      <w:rFonts w:ascii="Arial" w:hAnsi="Arial" w:cs="Symbol"/>
    </w:rPr>
  </w:style>
  <w:style w:type="character" w:styleId="ListLabel141">
    <w:name w:val="ListLabel 141"/>
    <w:qFormat/>
    <w:rPr>
      <w:rFonts w:cs="Courier New"/>
    </w:rPr>
  </w:style>
  <w:style w:type="character" w:styleId="ListLabel142">
    <w:name w:val="ListLabel 142"/>
    <w:qFormat/>
    <w:rPr>
      <w:rFonts w:cs="Wingdings"/>
    </w:rPr>
  </w:style>
  <w:style w:type="character" w:styleId="ListLabel143">
    <w:name w:val="ListLabel 143"/>
    <w:qFormat/>
    <w:rPr>
      <w:rFonts w:cs="Symbol"/>
    </w:rPr>
  </w:style>
  <w:style w:type="character" w:styleId="ListLabel144">
    <w:name w:val="ListLabel 144"/>
    <w:qFormat/>
    <w:rPr>
      <w:rFonts w:cs="Courier New"/>
    </w:rPr>
  </w:style>
  <w:style w:type="character" w:styleId="ListLabel145">
    <w:name w:val="ListLabel 145"/>
    <w:qFormat/>
    <w:rPr>
      <w:rFonts w:cs="Wingdings"/>
    </w:rPr>
  </w:style>
  <w:style w:type="character" w:styleId="ListLabel146">
    <w:name w:val="ListLabel 146"/>
    <w:qFormat/>
    <w:rPr>
      <w:rFonts w:cs="Symbol"/>
    </w:rPr>
  </w:style>
  <w:style w:type="character" w:styleId="ListLabel147">
    <w:name w:val="ListLabel 147"/>
    <w:qFormat/>
    <w:rPr>
      <w:rFonts w:cs="Courier New"/>
    </w:rPr>
  </w:style>
  <w:style w:type="character" w:styleId="ListLabel148">
    <w:name w:val="ListLabel 148"/>
    <w:qFormat/>
    <w:rPr>
      <w:rFonts w:cs="Wingdings"/>
    </w:rPr>
  </w:style>
  <w:style w:type="character" w:styleId="ListLabel149">
    <w:name w:val="ListLabel 149"/>
    <w:qFormat/>
    <w:rPr>
      <w:rFonts w:ascii="Arial" w:hAnsi="Arial" w:cs="Symbol"/>
    </w:rPr>
  </w:style>
  <w:style w:type="character" w:styleId="ListLabel150">
    <w:name w:val="ListLabel 150"/>
    <w:qFormat/>
    <w:rPr>
      <w:rFonts w:cs="Courier New"/>
    </w:rPr>
  </w:style>
  <w:style w:type="character" w:styleId="ListLabel151">
    <w:name w:val="ListLabel 151"/>
    <w:qFormat/>
    <w:rPr>
      <w:rFonts w:cs="Wingdings"/>
    </w:rPr>
  </w:style>
  <w:style w:type="character" w:styleId="ListLabel152">
    <w:name w:val="ListLabel 152"/>
    <w:qFormat/>
    <w:rPr>
      <w:rFonts w:cs="Symbol"/>
    </w:rPr>
  </w:style>
  <w:style w:type="character" w:styleId="ListLabel153">
    <w:name w:val="ListLabel 153"/>
    <w:qFormat/>
    <w:rPr>
      <w:rFonts w:cs="Courier New"/>
    </w:rPr>
  </w:style>
  <w:style w:type="character" w:styleId="ListLabel154">
    <w:name w:val="ListLabel 154"/>
    <w:qFormat/>
    <w:rPr>
      <w:rFonts w:cs="Wingdings"/>
    </w:rPr>
  </w:style>
  <w:style w:type="character" w:styleId="ListLabel155">
    <w:name w:val="ListLabel 155"/>
    <w:qFormat/>
    <w:rPr>
      <w:rFonts w:cs="Symbol"/>
    </w:rPr>
  </w:style>
  <w:style w:type="character" w:styleId="ListLabel156">
    <w:name w:val="ListLabel 156"/>
    <w:qFormat/>
    <w:rPr>
      <w:rFonts w:cs="Courier New"/>
    </w:rPr>
  </w:style>
  <w:style w:type="character" w:styleId="ListLabel157">
    <w:name w:val="ListLabel 157"/>
    <w:qFormat/>
    <w:rPr>
      <w:rFonts w:cs="Wingdings"/>
    </w:rPr>
  </w:style>
  <w:style w:type="character" w:styleId="ListLabel158">
    <w:name w:val="ListLabel 158"/>
    <w:qFormat/>
    <w:rPr>
      <w:rFonts w:ascii="Arial" w:hAnsi="Arial" w:cs="Symbol"/>
    </w:rPr>
  </w:style>
  <w:style w:type="character" w:styleId="ListLabel159">
    <w:name w:val="ListLabel 159"/>
    <w:qFormat/>
    <w:rPr>
      <w:rFonts w:cs="Courier New"/>
    </w:rPr>
  </w:style>
  <w:style w:type="character" w:styleId="ListLabel160">
    <w:name w:val="ListLabel 160"/>
    <w:qFormat/>
    <w:rPr>
      <w:rFonts w:cs="Wingdings"/>
    </w:rPr>
  </w:style>
  <w:style w:type="character" w:styleId="ListLabel161">
    <w:name w:val="ListLabel 161"/>
    <w:qFormat/>
    <w:rPr>
      <w:rFonts w:cs="Symbol"/>
    </w:rPr>
  </w:style>
  <w:style w:type="character" w:styleId="ListLabel162">
    <w:name w:val="ListLabel 162"/>
    <w:qFormat/>
    <w:rPr>
      <w:rFonts w:cs="Courier New"/>
    </w:rPr>
  </w:style>
  <w:style w:type="character" w:styleId="ListLabel163">
    <w:name w:val="ListLabel 163"/>
    <w:qFormat/>
    <w:rPr>
      <w:rFonts w:cs="Wingdings"/>
    </w:rPr>
  </w:style>
  <w:style w:type="character" w:styleId="ListLabel164">
    <w:name w:val="ListLabel 164"/>
    <w:qFormat/>
    <w:rPr>
      <w:rFonts w:cs="Symbol"/>
    </w:rPr>
  </w:style>
  <w:style w:type="character" w:styleId="ListLabel165">
    <w:name w:val="ListLabel 165"/>
    <w:qFormat/>
    <w:rPr>
      <w:rFonts w:cs="Courier New"/>
    </w:rPr>
  </w:style>
  <w:style w:type="character" w:styleId="ListLabel166">
    <w:name w:val="ListLabel 166"/>
    <w:qFormat/>
    <w:rPr>
      <w:rFonts w:cs="Wingdings"/>
    </w:rPr>
  </w:style>
  <w:style w:type="character" w:styleId="ListLabel167">
    <w:name w:val="ListLabel 167"/>
    <w:qFormat/>
    <w:rPr>
      <w:rFonts w:ascii="Arial" w:hAnsi="Arial" w:cs="Symbol"/>
    </w:rPr>
  </w:style>
  <w:style w:type="character" w:styleId="ListLabel168">
    <w:name w:val="ListLabel 168"/>
    <w:qFormat/>
    <w:rPr>
      <w:rFonts w:cs="Wingdings"/>
    </w:rPr>
  </w:style>
  <w:style w:type="character" w:styleId="ListLabel169">
    <w:name w:val="ListLabel 169"/>
    <w:qFormat/>
    <w:rPr>
      <w:rFonts w:cs="Symbol"/>
    </w:rPr>
  </w:style>
  <w:style w:type="character" w:styleId="ListLabel170">
    <w:name w:val="ListLabel 170"/>
    <w:qFormat/>
    <w:rPr>
      <w:rFonts w:cs="Courier New"/>
    </w:rPr>
  </w:style>
  <w:style w:type="character" w:styleId="ListLabel171">
    <w:name w:val="ListLabel 171"/>
    <w:qFormat/>
    <w:rPr>
      <w:rFonts w:cs="Wingdings"/>
    </w:rPr>
  </w:style>
  <w:style w:type="character" w:styleId="ListLabel172">
    <w:name w:val="ListLabel 172"/>
    <w:qFormat/>
    <w:rPr>
      <w:rFonts w:cs="Symbol"/>
    </w:rPr>
  </w:style>
  <w:style w:type="character" w:styleId="ListLabel173">
    <w:name w:val="ListLabel 173"/>
    <w:qFormat/>
    <w:rPr>
      <w:rFonts w:cs="Courier New"/>
    </w:rPr>
  </w:style>
  <w:style w:type="character" w:styleId="ListLabel174">
    <w:name w:val="ListLabel 174"/>
    <w:qFormat/>
    <w:rPr>
      <w:rFonts w:cs="Wingdings"/>
    </w:rPr>
  </w:style>
  <w:style w:type="character" w:styleId="ListLabel175">
    <w:name w:val="ListLabel 175"/>
    <w:qFormat/>
    <w:rPr>
      <w:rFonts w:ascii="Arial" w:hAnsi="Arial" w:cs="Symbol"/>
    </w:rPr>
  </w:style>
  <w:style w:type="character" w:styleId="ListLabel176">
    <w:name w:val="ListLabel 176"/>
    <w:qFormat/>
    <w:rPr>
      <w:rFonts w:cs="Wingdings"/>
    </w:rPr>
  </w:style>
  <w:style w:type="character" w:styleId="ListLabel177">
    <w:name w:val="ListLabel 177"/>
    <w:qFormat/>
    <w:rPr>
      <w:rFonts w:cs="Symbol"/>
    </w:rPr>
  </w:style>
  <w:style w:type="character" w:styleId="ListLabel178">
    <w:name w:val="ListLabel 178"/>
    <w:qFormat/>
    <w:rPr>
      <w:rFonts w:cs="Courier New"/>
    </w:rPr>
  </w:style>
  <w:style w:type="character" w:styleId="ListLabel179">
    <w:name w:val="ListLabel 179"/>
    <w:qFormat/>
    <w:rPr>
      <w:rFonts w:cs="Wingdings"/>
    </w:rPr>
  </w:style>
  <w:style w:type="character" w:styleId="ListLabel180">
    <w:name w:val="ListLabel 180"/>
    <w:qFormat/>
    <w:rPr>
      <w:rFonts w:cs="Symbol"/>
    </w:rPr>
  </w:style>
  <w:style w:type="character" w:styleId="ListLabel181">
    <w:name w:val="ListLabel 181"/>
    <w:qFormat/>
    <w:rPr>
      <w:rFonts w:cs="Courier New"/>
    </w:rPr>
  </w:style>
  <w:style w:type="character" w:styleId="ListLabel182">
    <w:name w:val="ListLabel 182"/>
    <w:qFormat/>
    <w:rPr>
      <w:rFonts w:cs="Wingdings"/>
    </w:rPr>
  </w:style>
  <w:style w:type="character" w:styleId="ListLabel183">
    <w:name w:val="ListLabel 183"/>
    <w:qFormat/>
    <w:rPr>
      <w:rFonts w:ascii="Arial" w:hAnsi="Arial" w:cs="Symbol"/>
    </w:rPr>
  </w:style>
  <w:style w:type="character" w:styleId="ListLabel184">
    <w:name w:val="ListLabel 184"/>
    <w:qFormat/>
    <w:rPr>
      <w:rFonts w:cs="Courier New"/>
    </w:rPr>
  </w:style>
  <w:style w:type="character" w:styleId="ListLabel185">
    <w:name w:val="ListLabel 185"/>
    <w:qFormat/>
    <w:rPr>
      <w:rFonts w:cs="Wingdings"/>
    </w:rPr>
  </w:style>
  <w:style w:type="character" w:styleId="ListLabel186">
    <w:name w:val="ListLabel 186"/>
    <w:qFormat/>
    <w:rPr>
      <w:rFonts w:cs="Symbol"/>
    </w:rPr>
  </w:style>
  <w:style w:type="character" w:styleId="ListLabel187">
    <w:name w:val="ListLabel 187"/>
    <w:qFormat/>
    <w:rPr>
      <w:rFonts w:cs="Courier New"/>
    </w:rPr>
  </w:style>
  <w:style w:type="character" w:styleId="ListLabel188">
    <w:name w:val="ListLabel 188"/>
    <w:qFormat/>
    <w:rPr>
      <w:rFonts w:cs="Wingdings"/>
    </w:rPr>
  </w:style>
  <w:style w:type="character" w:styleId="ListLabel189">
    <w:name w:val="ListLabel 189"/>
    <w:qFormat/>
    <w:rPr>
      <w:rFonts w:cs="Symbol"/>
    </w:rPr>
  </w:style>
  <w:style w:type="character" w:styleId="ListLabel190">
    <w:name w:val="ListLabel 190"/>
    <w:qFormat/>
    <w:rPr>
      <w:rFonts w:cs="Courier New"/>
    </w:rPr>
  </w:style>
  <w:style w:type="character" w:styleId="ListLabel191">
    <w:name w:val="ListLabel 191"/>
    <w:qFormat/>
    <w:rPr>
      <w:rFonts w:cs="Wingdings"/>
    </w:rPr>
  </w:style>
  <w:style w:type="character" w:styleId="ListLabel192">
    <w:name w:val="ListLabel 192"/>
    <w:qFormat/>
    <w:rPr>
      <w:rFonts w:ascii="Arial" w:hAnsi="Arial" w:cs="Symbol"/>
    </w:rPr>
  </w:style>
  <w:style w:type="character" w:styleId="ListLabel193">
    <w:name w:val="ListLabel 193"/>
    <w:qFormat/>
    <w:rPr>
      <w:rFonts w:cs="Courier New"/>
    </w:rPr>
  </w:style>
  <w:style w:type="character" w:styleId="ListLabel194">
    <w:name w:val="ListLabel 194"/>
    <w:qFormat/>
    <w:rPr>
      <w:rFonts w:cs="Wingdings"/>
    </w:rPr>
  </w:style>
  <w:style w:type="character" w:styleId="ListLabel195">
    <w:name w:val="ListLabel 195"/>
    <w:qFormat/>
    <w:rPr>
      <w:rFonts w:cs="Symbol"/>
    </w:rPr>
  </w:style>
  <w:style w:type="character" w:styleId="ListLabel196">
    <w:name w:val="ListLabel 196"/>
    <w:qFormat/>
    <w:rPr>
      <w:rFonts w:cs="Courier New"/>
    </w:rPr>
  </w:style>
  <w:style w:type="character" w:styleId="ListLabel197">
    <w:name w:val="ListLabel 197"/>
    <w:qFormat/>
    <w:rPr>
      <w:rFonts w:cs="Wingdings"/>
    </w:rPr>
  </w:style>
  <w:style w:type="character" w:styleId="ListLabel198">
    <w:name w:val="ListLabel 198"/>
    <w:qFormat/>
    <w:rPr>
      <w:rFonts w:cs="Symbol"/>
    </w:rPr>
  </w:style>
  <w:style w:type="character" w:styleId="ListLabel199">
    <w:name w:val="ListLabel 199"/>
    <w:qFormat/>
    <w:rPr>
      <w:rFonts w:cs="Courier New"/>
    </w:rPr>
  </w:style>
  <w:style w:type="character" w:styleId="ListLabel200">
    <w:name w:val="ListLabel 200"/>
    <w:qFormat/>
    <w:rPr>
      <w:rFonts w:cs="Wingdings"/>
    </w:rPr>
  </w:style>
  <w:style w:type="character" w:styleId="ListLabel201">
    <w:name w:val="ListLabel 201"/>
    <w:qFormat/>
    <w:rPr>
      <w:rFonts w:ascii="Arial" w:hAnsi="Arial" w:cs="Symbol"/>
    </w:rPr>
  </w:style>
  <w:style w:type="character" w:styleId="ListLabel202">
    <w:name w:val="ListLabel 202"/>
    <w:qFormat/>
    <w:rPr>
      <w:rFonts w:cs="Courier New"/>
    </w:rPr>
  </w:style>
  <w:style w:type="character" w:styleId="ListLabel203">
    <w:name w:val="ListLabel 203"/>
    <w:qFormat/>
    <w:rPr>
      <w:rFonts w:cs="Wingdings"/>
    </w:rPr>
  </w:style>
  <w:style w:type="character" w:styleId="ListLabel204">
    <w:name w:val="ListLabel 204"/>
    <w:qFormat/>
    <w:rPr>
      <w:rFonts w:cs="Symbol"/>
    </w:rPr>
  </w:style>
  <w:style w:type="character" w:styleId="ListLabel205">
    <w:name w:val="ListLabel 205"/>
    <w:qFormat/>
    <w:rPr>
      <w:rFonts w:cs="Courier New"/>
    </w:rPr>
  </w:style>
  <w:style w:type="character" w:styleId="ListLabel206">
    <w:name w:val="ListLabel 206"/>
    <w:qFormat/>
    <w:rPr>
      <w:rFonts w:cs="Wingdings"/>
    </w:rPr>
  </w:style>
  <w:style w:type="character" w:styleId="ListLabel207">
    <w:name w:val="ListLabel 207"/>
    <w:qFormat/>
    <w:rPr>
      <w:rFonts w:cs="Symbol"/>
    </w:rPr>
  </w:style>
  <w:style w:type="character" w:styleId="ListLabel208">
    <w:name w:val="ListLabel 208"/>
    <w:qFormat/>
    <w:rPr>
      <w:rFonts w:cs="Courier New"/>
    </w:rPr>
  </w:style>
  <w:style w:type="character" w:styleId="ListLabel209">
    <w:name w:val="ListLabel 209"/>
    <w:qFormat/>
    <w:rPr>
      <w:rFonts w:cs="Wingdings"/>
    </w:rPr>
  </w:style>
  <w:style w:type="character" w:styleId="ListLabel210">
    <w:name w:val="ListLabel 210"/>
    <w:qFormat/>
    <w:rPr>
      <w:rFonts w:ascii="Arial" w:hAnsi="Arial" w:cs="Symbol"/>
    </w:rPr>
  </w:style>
  <w:style w:type="character" w:styleId="ListLabel211">
    <w:name w:val="ListLabel 211"/>
    <w:qFormat/>
    <w:rPr>
      <w:rFonts w:cs="Wingdings"/>
    </w:rPr>
  </w:style>
  <w:style w:type="character" w:styleId="ListLabel212">
    <w:name w:val="ListLabel 212"/>
    <w:qFormat/>
    <w:rPr>
      <w:rFonts w:cs="Symbol"/>
    </w:rPr>
  </w:style>
  <w:style w:type="character" w:styleId="ListLabel213">
    <w:name w:val="ListLabel 213"/>
    <w:qFormat/>
    <w:rPr>
      <w:rFonts w:cs="Courier New"/>
    </w:rPr>
  </w:style>
  <w:style w:type="character" w:styleId="ListLabel214">
    <w:name w:val="ListLabel 214"/>
    <w:qFormat/>
    <w:rPr>
      <w:rFonts w:cs="Wingdings"/>
    </w:rPr>
  </w:style>
  <w:style w:type="character" w:styleId="ListLabel215">
    <w:name w:val="ListLabel 215"/>
    <w:qFormat/>
    <w:rPr>
      <w:rFonts w:cs="Symbol"/>
    </w:rPr>
  </w:style>
  <w:style w:type="character" w:styleId="ListLabel216">
    <w:name w:val="ListLabel 216"/>
    <w:qFormat/>
    <w:rPr>
      <w:rFonts w:cs="Courier New"/>
    </w:rPr>
  </w:style>
  <w:style w:type="character" w:styleId="ListLabel217">
    <w:name w:val="ListLabel 217"/>
    <w:qFormat/>
    <w:rPr>
      <w:rFonts w:cs="Wingdings"/>
    </w:rPr>
  </w:style>
  <w:style w:type="character" w:styleId="ListLabel218">
    <w:name w:val="ListLabel 218"/>
    <w:qFormat/>
    <w:rPr>
      <w:rFonts w:ascii="Arial" w:hAnsi="Arial" w:cs="Symbol"/>
    </w:rPr>
  </w:style>
  <w:style w:type="character" w:styleId="ListLabel219">
    <w:name w:val="ListLabel 219"/>
    <w:qFormat/>
    <w:rPr>
      <w:rFonts w:cs="Courier New"/>
    </w:rPr>
  </w:style>
  <w:style w:type="character" w:styleId="ListLabel220">
    <w:name w:val="ListLabel 220"/>
    <w:qFormat/>
    <w:rPr>
      <w:rFonts w:cs="Wingdings"/>
    </w:rPr>
  </w:style>
  <w:style w:type="character" w:styleId="ListLabel221">
    <w:name w:val="ListLabel 221"/>
    <w:qFormat/>
    <w:rPr>
      <w:rFonts w:cs="Symbol"/>
    </w:rPr>
  </w:style>
  <w:style w:type="character" w:styleId="ListLabel222">
    <w:name w:val="ListLabel 222"/>
    <w:qFormat/>
    <w:rPr>
      <w:rFonts w:cs="Courier New"/>
    </w:rPr>
  </w:style>
  <w:style w:type="character" w:styleId="ListLabel223">
    <w:name w:val="ListLabel 223"/>
    <w:qFormat/>
    <w:rPr>
      <w:rFonts w:cs="Wingdings"/>
    </w:rPr>
  </w:style>
  <w:style w:type="character" w:styleId="ListLabel224">
    <w:name w:val="ListLabel 224"/>
    <w:qFormat/>
    <w:rPr>
      <w:rFonts w:cs="Symbol"/>
    </w:rPr>
  </w:style>
  <w:style w:type="character" w:styleId="ListLabel225">
    <w:name w:val="ListLabel 225"/>
    <w:qFormat/>
    <w:rPr>
      <w:rFonts w:cs="Courier New"/>
    </w:rPr>
  </w:style>
  <w:style w:type="character" w:styleId="ListLabel226">
    <w:name w:val="ListLabel 226"/>
    <w:qFormat/>
    <w:rPr>
      <w:rFonts w:cs="Wingdings"/>
    </w:rPr>
  </w:style>
  <w:style w:type="character" w:styleId="ListLabel227">
    <w:name w:val="ListLabel 227"/>
    <w:qFormat/>
    <w:rPr>
      <w:rFonts w:ascii="Arial" w:hAnsi="Arial" w:cs="Symbol"/>
    </w:rPr>
  </w:style>
  <w:style w:type="character" w:styleId="ListLabel228">
    <w:name w:val="ListLabel 228"/>
    <w:qFormat/>
    <w:rPr>
      <w:rFonts w:cs="Courier New"/>
    </w:rPr>
  </w:style>
  <w:style w:type="character" w:styleId="ListLabel229">
    <w:name w:val="ListLabel 229"/>
    <w:qFormat/>
    <w:rPr>
      <w:rFonts w:cs="Wingdings"/>
    </w:rPr>
  </w:style>
  <w:style w:type="character" w:styleId="ListLabel230">
    <w:name w:val="ListLabel 230"/>
    <w:qFormat/>
    <w:rPr>
      <w:rFonts w:cs="Symbol"/>
    </w:rPr>
  </w:style>
  <w:style w:type="character" w:styleId="ListLabel231">
    <w:name w:val="ListLabel 231"/>
    <w:qFormat/>
    <w:rPr>
      <w:rFonts w:cs="Courier New"/>
    </w:rPr>
  </w:style>
  <w:style w:type="character" w:styleId="ListLabel232">
    <w:name w:val="ListLabel 232"/>
    <w:qFormat/>
    <w:rPr>
      <w:rFonts w:cs="Wingdings"/>
    </w:rPr>
  </w:style>
  <w:style w:type="character" w:styleId="ListLabel233">
    <w:name w:val="ListLabel 233"/>
    <w:qFormat/>
    <w:rPr>
      <w:rFonts w:cs="Symbol"/>
    </w:rPr>
  </w:style>
  <w:style w:type="character" w:styleId="ListLabel234">
    <w:name w:val="ListLabel 234"/>
    <w:qFormat/>
    <w:rPr>
      <w:rFonts w:cs="Courier New"/>
    </w:rPr>
  </w:style>
  <w:style w:type="character" w:styleId="ListLabel235">
    <w:name w:val="ListLabel 235"/>
    <w:qFormat/>
    <w:rPr>
      <w:rFonts w:cs="Wingdings"/>
    </w:rPr>
  </w:style>
  <w:style w:type="character" w:styleId="ListLabel236">
    <w:name w:val="ListLabel 236"/>
    <w:qFormat/>
    <w:rPr>
      <w:rFonts w:ascii="Arial" w:hAnsi="Arial"/>
      <w:sz w:val="24"/>
      <w:szCs w:val="24"/>
    </w:rPr>
  </w:style>
  <w:style w:type="character" w:styleId="ListLabel237">
    <w:name w:val="ListLabel 237"/>
    <w:qFormat/>
    <w:rPr>
      <w:rFonts w:ascii="Arial" w:hAnsi="Arial" w:cs="Symbol"/>
    </w:rPr>
  </w:style>
  <w:style w:type="character" w:styleId="ListLabel238">
    <w:name w:val="ListLabel 238"/>
    <w:qFormat/>
    <w:rPr>
      <w:rFonts w:cs="Courier New"/>
    </w:rPr>
  </w:style>
  <w:style w:type="character" w:styleId="ListLabel239">
    <w:name w:val="ListLabel 239"/>
    <w:qFormat/>
    <w:rPr>
      <w:rFonts w:cs="Wingdings"/>
    </w:rPr>
  </w:style>
  <w:style w:type="character" w:styleId="ListLabel240">
    <w:name w:val="ListLabel 240"/>
    <w:qFormat/>
    <w:rPr>
      <w:rFonts w:cs="Symbol"/>
    </w:rPr>
  </w:style>
  <w:style w:type="character" w:styleId="ListLabel241">
    <w:name w:val="ListLabel 241"/>
    <w:qFormat/>
    <w:rPr>
      <w:rFonts w:cs="Courier New"/>
    </w:rPr>
  </w:style>
  <w:style w:type="character" w:styleId="ListLabel242">
    <w:name w:val="ListLabel 242"/>
    <w:qFormat/>
    <w:rPr>
      <w:rFonts w:cs="Wingdings"/>
    </w:rPr>
  </w:style>
  <w:style w:type="character" w:styleId="ListLabel243">
    <w:name w:val="ListLabel 243"/>
    <w:qFormat/>
    <w:rPr>
      <w:rFonts w:cs="Symbol"/>
    </w:rPr>
  </w:style>
  <w:style w:type="character" w:styleId="ListLabel244">
    <w:name w:val="ListLabel 244"/>
    <w:qFormat/>
    <w:rPr>
      <w:rFonts w:cs="Courier New"/>
    </w:rPr>
  </w:style>
  <w:style w:type="character" w:styleId="ListLabel245">
    <w:name w:val="ListLabel 245"/>
    <w:qFormat/>
    <w:rPr>
      <w:rFonts w:cs="Wingdings"/>
    </w:rPr>
  </w:style>
  <w:style w:type="character" w:styleId="ListLabel246">
    <w:name w:val="ListLabel 246"/>
    <w:qFormat/>
    <w:rPr>
      <w:rFonts w:ascii="Arial" w:hAnsi="Arial" w:cs="Symbol"/>
    </w:rPr>
  </w:style>
  <w:style w:type="character" w:styleId="ListLabel247">
    <w:name w:val="ListLabel 247"/>
    <w:qFormat/>
    <w:rPr>
      <w:rFonts w:ascii="Arial" w:hAnsi="Arial" w:cs="Symbol"/>
    </w:rPr>
  </w:style>
  <w:style w:type="character" w:styleId="ListLabel248">
    <w:name w:val="ListLabel 248"/>
    <w:qFormat/>
    <w:rPr>
      <w:rFonts w:ascii="Arial" w:hAnsi="Arial" w:cs="Symbol"/>
    </w:rPr>
  </w:style>
  <w:style w:type="character" w:styleId="ListLabel249">
    <w:name w:val="ListLabel 249"/>
    <w:qFormat/>
    <w:rPr>
      <w:rFonts w:ascii="Arial" w:hAnsi="Arial" w:cs="Symbol"/>
    </w:rPr>
  </w:style>
  <w:style w:type="character" w:styleId="ListLabel250">
    <w:name w:val="ListLabel 250"/>
    <w:qFormat/>
    <w:rPr>
      <w:rFonts w:ascii="Arial" w:hAnsi="Arial" w:cs="Symbol"/>
    </w:rPr>
  </w:style>
  <w:style w:type="character" w:styleId="ListLabel251">
    <w:name w:val="ListLabel 251"/>
    <w:qFormat/>
    <w:rPr>
      <w:rFonts w:ascii="Arial" w:hAnsi="Arial" w:cs="Symbol"/>
    </w:rPr>
  </w:style>
  <w:style w:type="character" w:styleId="ListLabel252">
    <w:name w:val="ListLabel 252"/>
    <w:qFormat/>
    <w:rPr>
      <w:rFonts w:ascii="Arial" w:hAnsi="Arial" w:cs="Symbol"/>
    </w:rPr>
  </w:style>
  <w:style w:type="character" w:styleId="ListLabel253">
    <w:name w:val="ListLabel 253"/>
    <w:qFormat/>
    <w:rPr>
      <w:rFonts w:ascii="Arial" w:hAnsi="Arial" w:cs="Symbol"/>
    </w:rPr>
  </w:style>
  <w:style w:type="character" w:styleId="ListLabel254">
    <w:name w:val="ListLabel 254"/>
    <w:qFormat/>
    <w:rPr>
      <w:rFonts w:cs="Courier New"/>
    </w:rPr>
  </w:style>
  <w:style w:type="character" w:styleId="ListLabel255">
    <w:name w:val="ListLabel 255"/>
    <w:qFormat/>
    <w:rPr>
      <w:rFonts w:cs="Wingdings"/>
    </w:rPr>
  </w:style>
  <w:style w:type="character" w:styleId="ListLabel256">
    <w:name w:val="ListLabel 256"/>
    <w:qFormat/>
    <w:rPr>
      <w:rFonts w:cs="Symbol"/>
    </w:rPr>
  </w:style>
  <w:style w:type="character" w:styleId="ListLabel257">
    <w:name w:val="ListLabel 257"/>
    <w:qFormat/>
    <w:rPr>
      <w:rFonts w:cs="Courier New"/>
    </w:rPr>
  </w:style>
  <w:style w:type="character" w:styleId="ListLabel258">
    <w:name w:val="ListLabel 258"/>
    <w:qFormat/>
    <w:rPr>
      <w:rFonts w:cs="Wingdings"/>
    </w:rPr>
  </w:style>
  <w:style w:type="character" w:styleId="ListLabel259">
    <w:name w:val="ListLabel 259"/>
    <w:qFormat/>
    <w:rPr>
      <w:rFonts w:cs="Symbol"/>
    </w:rPr>
  </w:style>
  <w:style w:type="character" w:styleId="ListLabel260">
    <w:name w:val="ListLabel 260"/>
    <w:qFormat/>
    <w:rPr>
      <w:rFonts w:cs="Courier New"/>
    </w:rPr>
  </w:style>
  <w:style w:type="character" w:styleId="ListLabel261">
    <w:name w:val="ListLabel 261"/>
    <w:qFormat/>
    <w:rPr>
      <w:rFonts w:cs="Wingdings"/>
    </w:rPr>
  </w:style>
  <w:style w:type="character" w:styleId="ListLabel262">
    <w:name w:val="ListLabel 262"/>
    <w:qFormat/>
    <w:rPr>
      <w:rFonts w:ascii="Arial" w:hAnsi="Arial" w:cs="Symbol"/>
    </w:rPr>
  </w:style>
  <w:style w:type="character" w:styleId="ListLabel263">
    <w:name w:val="ListLabel 263"/>
    <w:qFormat/>
    <w:rPr>
      <w:rFonts w:cs="Courier New"/>
    </w:rPr>
  </w:style>
  <w:style w:type="character" w:styleId="ListLabel264">
    <w:name w:val="ListLabel 264"/>
    <w:qFormat/>
    <w:rPr>
      <w:rFonts w:cs="Wingdings"/>
    </w:rPr>
  </w:style>
  <w:style w:type="character" w:styleId="ListLabel265">
    <w:name w:val="ListLabel 265"/>
    <w:qFormat/>
    <w:rPr>
      <w:rFonts w:cs="Symbol"/>
    </w:rPr>
  </w:style>
  <w:style w:type="character" w:styleId="ListLabel266">
    <w:name w:val="ListLabel 266"/>
    <w:qFormat/>
    <w:rPr>
      <w:rFonts w:cs="Courier New"/>
    </w:rPr>
  </w:style>
  <w:style w:type="character" w:styleId="ListLabel267">
    <w:name w:val="ListLabel 267"/>
    <w:qFormat/>
    <w:rPr>
      <w:rFonts w:cs="Wingdings"/>
    </w:rPr>
  </w:style>
  <w:style w:type="character" w:styleId="ListLabel268">
    <w:name w:val="ListLabel 268"/>
    <w:qFormat/>
    <w:rPr>
      <w:rFonts w:cs="Symbol"/>
    </w:rPr>
  </w:style>
  <w:style w:type="character" w:styleId="ListLabel269">
    <w:name w:val="ListLabel 269"/>
    <w:qFormat/>
    <w:rPr>
      <w:rFonts w:cs="Courier New"/>
    </w:rPr>
  </w:style>
  <w:style w:type="character" w:styleId="ListLabel270">
    <w:name w:val="ListLabel 270"/>
    <w:qFormat/>
    <w:rPr>
      <w:rFonts w:cs="Wingdings"/>
    </w:rPr>
  </w:style>
  <w:style w:type="character" w:styleId="ListLabel271">
    <w:name w:val="ListLabel 271"/>
    <w:qFormat/>
    <w:rPr>
      <w:rFonts w:ascii="Arial" w:hAnsi="Arial" w:cs="Symbol"/>
    </w:rPr>
  </w:style>
  <w:style w:type="character" w:styleId="ListLabel272">
    <w:name w:val="ListLabel 272"/>
    <w:qFormat/>
    <w:rPr>
      <w:rFonts w:cs="Courier New"/>
    </w:rPr>
  </w:style>
  <w:style w:type="character" w:styleId="ListLabel273">
    <w:name w:val="ListLabel 273"/>
    <w:qFormat/>
    <w:rPr>
      <w:rFonts w:cs="Wingdings"/>
    </w:rPr>
  </w:style>
  <w:style w:type="character" w:styleId="ListLabel274">
    <w:name w:val="ListLabel 274"/>
    <w:qFormat/>
    <w:rPr>
      <w:rFonts w:cs="Symbol"/>
    </w:rPr>
  </w:style>
  <w:style w:type="character" w:styleId="ListLabel275">
    <w:name w:val="ListLabel 275"/>
    <w:qFormat/>
    <w:rPr>
      <w:rFonts w:cs="Courier New"/>
    </w:rPr>
  </w:style>
  <w:style w:type="character" w:styleId="ListLabel276">
    <w:name w:val="ListLabel 276"/>
    <w:qFormat/>
    <w:rPr>
      <w:rFonts w:cs="Wingdings"/>
    </w:rPr>
  </w:style>
  <w:style w:type="character" w:styleId="ListLabel277">
    <w:name w:val="ListLabel 277"/>
    <w:qFormat/>
    <w:rPr>
      <w:rFonts w:cs="Symbol"/>
    </w:rPr>
  </w:style>
  <w:style w:type="character" w:styleId="ListLabel278">
    <w:name w:val="ListLabel 278"/>
    <w:qFormat/>
    <w:rPr>
      <w:rFonts w:cs="Courier New"/>
    </w:rPr>
  </w:style>
  <w:style w:type="character" w:styleId="ListLabel279">
    <w:name w:val="ListLabel 279"/>
    <w:qFormat/>
    <w:rPr>
      <w:rFonts w:cs="Wingdings"/>
    </w:rPr>
  </w:style>
  <w:style w:type="character" w:styleId="ListLabel280">
    <w:name w:val="ListLabel 280"/>
    <w:qFormat/>
    <w:rPr>
      <w:rFonts w:ascii="Arial" w:hAnsi="Arial" w:cs="Symbol"/>
    </w:rPr>
  </w:style>
  <w:style w:type="character" w:styleId="ListLabel281">
    <w:name w:val="ListLabel 281"/>
    <w:qFormat/>
    <w:rPr>
      <w:rFonts w:cs="Courier New"/>
    </w:rPr>
  </w:style>
  <w:style w:type="character" w:styleId="ListLabel282">
    <w:name w:val="ListLabel 282"/>
    <w:qFormat/>
    <w:rPr>
      <w:rFonts w:cs="Wingdings"/>
    </w:rPr>
  </w:style>
  <w:style w:type="character" w:styleId="ListLabel283">
    <w:name w:val="ListLabel 283"/>
    <w:qFormat/>
    <w:rPr>
      <w:rFonts w:cs="Symbol"/>
    </w:rPr>
  </w:style>
  <w:style w:type="character" w:styleId="ListLabel284">
    <w:name w:val="ListLabel 284"/>
    <w:qFormat/>
    <w:rPr>
      <w:rFonts w:cs="Courier New"/>
    </w:rPr>
  </w:style>
  <w:style w:type="character" w:styleId="ListLabel285">
    <w:name w:val="ListLabel 285"/>
    <w:qFormat/>
    <w:rPr>
      <w:rFonts w:cs="Wingdings"/>
    </w:rPr>
  </w:style>
  <w:style w:type="character" w:styleId="ListLabel286">
    <w:name w:val="ListLabel 286"/>
    <w:qFormat/>
    <w:rPr>
      <w:rFonts w:cs="Symbol"/>
    </w:rPr>
  </w:style>
  <w:style w:type="character" w:styleId="ListLabel287">
    <w:name w:val="ListLabel 287"/>
    <w:qFormat/>
    <w:rPr>
      <w:rFonts w:cs="Courier New"/>
    </w:rPr>
  </w:style>
  <w:style w:type="character" w:styleId="ListLabel288">
    <w:name w:val="ListLabel 288"/>
    <w:qFormat/>
    <w:rPr>
      <w:rFonts w:cs="Wingdings"/>
    </w:rPr>
  </w:style>
  <w:style w:type="character" w:styleId="ListLabel289">
    <w:name w:val="ListLabel 289"/>
    <w:qFormat/>
    <w:rPr>
      <w:rFonts w:ascii="Arial" w:hAnsi="Arial" w:cs="Symbol"/>
    </w:rPr>
  </w:style>
  <w:style w:type="character" w:styleId="ListLabel290">
    <w:name w:val="ListLabel 290"/>
    <w:qFormat/>
    <w:rPr>
      <w:rFonts w:cs="Courier New"/>
    </w:rPr>
  </w:style>
  <w:style w:type="character" w:styleId="ListLabel291">
    <w:name w:val="ListLabel 291"/>
    <w:qFormat/>
    <w:rPr>
      <w:rFonts w:cs="Wingdings"/>
    </w:rPr>
  </w:style>
  <w:style w:type="character" w:styleId="ListLabel292">
    <w:name w:val="ListLabel 292"/>
    <w:qFormat/>
    <w:rPr>
      <w:rFonts w:cs="Symbol"/>
    </w:rPr>
  </w:style>
  <w:style w:type="character" w:styleId="ListLabel293">
    <w:name w:val="ListLabel 293"/>
    <w:qFormat/>
    <w:rPr>
      <w:rFonts w:cs="Courier New"/>
    </w:rPr>
  </w:style>
  <w:style w:type="character" w:styleId="ListLabel294">
    <w:name w:val="ListLabel 294"/>
    <w:qFormat/>
    <w:rPr>
      <w:rFonts w:cs="Wingdings"/>
    </w:rPr>
  </w:style>
  <w:style w:type="character" w:styleId="ListLabel295">
    <w:name w:val="ListLabel 295"/>
    <w:qFormat/>
    <w:rPr>
      <w:rFonts w:cs="Symbol"/>
    </w:rPr>
  </w:style>
  <w:style w:type="character" w:styleId="ListLabel296">
    <w:name w:val="ListLabel 296"/>
    <w:qFormat/>
    <w:rPr>
      <w:rFonts w:cs="Courier New"/>
    </w:rPr>
  </w:style>
  <w:style w:type="character" w:styleId="ListLabel297">
    <w:name w:val="ListLabel 297"/>
    <w:qFormat/>
    <w:rPr>
      <w:rFonts w:cs="Wingdings"/>
    </w:rPr>
  </w:style>
  <w:style w:type="character" w:styleId="ListLabel298">
    <w:name w:val="ListLabel 298"/>
    <w:qFormat/>
    <w:rPr>
      <w:rFonts w:ascii="Arial" w:hAnsi="Arial" w:cs="Symbol"/>
    </w:rPr>
  </w:style>
  <w:style w:type="character" w:styleId="ListLabel299">
    <w:name w:val="ListLabel 299"/>
    <w:qFormat/>
    <w:rPr>
      <w:rFonts w:cs="Courier New"/>
    </w:rPr>
  </w:style>
  <w:style w:type="character" w:styleId="ListLabel300">
    <w:name w:val="ListLabel 300"/>
    <w:qFormat/>
    <w:rPr>
      <w:rFonts w:cs="Wingdings"/>
    </w:rPr>
  </w:style>
  <w:style w:type="character" w:styleId="ListLabel301">
    <w:name w:val="ListLabel 301"/>
    <w:qFormat/>
    <w:rPr>
      <w:rFonts w:cs="Symbol"/>
    </w:rPr>
  </w:style>
  <w:style w:type="character" w:styleId="ListLabel302">
    <w:name w:val="ListLabel 302"/>
    <w:qFormat/>
    <w:rPr>
      <w:rFonts w:cs="Courier New"/>
    </w:rPr>
  </w:style>
  <w:style w:type="character" w:styleId="ListLabel303">
    <w:name w:val="ListLabel 303"/>
    <w:qFormat/>
    <w:rPr>
      <w:rFonts w:cs="Wingdings"/>
    </w:rPr>
  </w:style>
  <w:style w:type="character" w:styleId="ListLabel304">
    <w:name w:val="ListLabel 304"/>
    <w:qFormat/>
    <w:rPr>
      <w:rFonts w:cs="Symbol"/>
    </w:rPr>
  </w:style>
  <w:style w:type="character" w:styleId="ListLabel305">
    <w:name w:val="ListLabel 305"/>
    <w:qFormat/>
    <w:rPr>
      <w:rFonts w:cs="Courier New"/>
    </w:rPr>
  </w:style>
  <w:style w:type="character" w:styleId="ListLabel306">
    <w:name w:val="ListLabel 306"/>
    <w:qFormat/>
    <w:rPr>
      <w:rFonts w:cs="Wingdings"/>
    </w:rPr>
  </w:style>
  <w:style w:type="character" w:styleId="ListLabel307">
    <w:name w:val="ListLabel 307"/>
    <w:qFormat/>
    <w:rPr>
      <w:rFonts w:ascii="Arial" w:hAnsi="Arial" w:cs="Symbol"/>
      <w:b/>
    </w:rPr>
  </w:style>
  <w:style w:type="character" w:styleId="ListLabel308">
    <w:name w:val="ListLabel 308"/>
    <w:qFormat/>
    <w:rPr>
      <w:rFonts w:cs="Courier New"/>
    </w:rPr>
  </w:style>
  <w:style w:type="character" w:styleId="ListLabel309">
    <w:name w:val="ListLabel 309"/>
    <w:qFormat/>
    <w:rPr>
      <w:rFonts w:cs="Wingdings"/>
    </w:rPr>
  </w:style>
  <w:style w:type="character" w:styleId="ListLabel310">
    <w:name w:val="ListLabel 310"/>
    <w:qFormat/>
    <w:rPr>
      <w:rFonts w:cs="Symbol"/>
    </w:rPr>
  </w:style>
  <w:style w:type="character" w:styleId="ListLabel311">
    <w:name w:val="ListLabel 311"/>
    <w:qFormat/>
    <w:rPr>
      <w:rFonts w:cs="Courier New"/>
    </w:rPr>
  </w:style>
  <w:style w:type="character" w:styleId="ListLabel312">
    <w:name w:val="ListLabel 312"/>
    <w:qFormat/>
    <w:rPr>
      <w:rFonts w:cs="Wingdings"/>
    </w:rPr>
  </w:style>
  <w:style w:type="character" w:styleId="ListLabel313">
    <w:name w:val="ListLabel 313"/>
    <w:qFormat/>
    <w:rPr>
      <w:rFonts w:cs="Symbol"/>
    </w:rPr>
  </w:style>
  <w:style w:type="character" w:styleId="ListLabel314">
    <w:name w:val="ListLabel 314"/>
    <w:qFormat/>
    <w:rPr>
      <w:rFonts w:cs="Courier New"/>
    </w:rPr>
  </w:style>
  <w:style w:type="character" w:styleId="ListLabel315">
    <w:name w:val="ListLabel 315"/>
    <w:qFormat/>
    <w:rPr>
      <w:rFonts w:cs="Wingdings"/>
    </w:rPr>
  </w:style>
  <w:style w:type="character" w:styleId="ListLabel316">
    <w:name w:val="ListLabel 316"/>
    <w:qFormat/>
    <w:rPr>
      <w:rFonts w:ascii="Arial" w:hAnsi="Arial" w:cs="Symbol"/>
    </w:rPr>
  </w:style>
  <w:style w:type="character" w:styleId="ListLabel317">
    <w:name w:val="ListLabel 317"/>
    <w:qFormat/>
    <w:rPr>
      <w:rFonts w:cs="Courier New"/>
    </w:rPr>
  </w:style>
  <w:style w:type="character" w:styleId="ListLabel318">
    <w:name w:val="ListLabel 318"/>
    <w:qFormat/>
    <w:rPr>
      <w:rFonts w:cs="Wingdings"/>
    </w:rPr>
  </w:style>
  <w:style w:type="character" w:styleId="ListLabel319">
    <w:name w:val="ListLabel 319"/>
    <w:qFormat/>
    <w:rPr>
      <w:rFonts w:cs="Symbol"/>
    </w:rPr>
  </w:style>
  <w:style w:type="character" w:styleId="ListLabel320">
    <w:name w:val="ListLabel 320"/>
    <w:qFormat/>
    <w:rPr>
      <w:rFonts w:cs="Courier New"/>
    </w:rPr>
  </w:style>
  <w:style w:type="character" w:styleId="ListLabel321">
    <w:name w:val="ListLabel 321"/>
    <w:qFormat/>
    <w:rPr>
      <w:rFonts w:cs="Wingdings"/>
    </w:rPr>
  </w:style>
  <w:style w:type="character" w:styleId="ListLabel322">
    <w:name w:val="ListLabel 322"/>
    <w:qFormat/>
    <w:rPr>
      <w:rFonts w:cs="Symbol"/>
    </w:rPr>
  </w:style>
  <w:style w:type="character" w:styleId="ListLabel323">
    <w:name w:val="ListLabel 323"/>
    <w:qFormat/>
    <w:rPr>
      <w:rFonts w:cs="Courier New"/>
    </w:rPr>
  </w:style>
  <w:style w:type="character" w:styleId="ListLabel324">
    <w:name w:val="ListLabel 324"/>
    <w:qFormat/>
    <w:rPr>
      <w:rFonts w:cs="Wingdings"/>
    </w:rPr>
  </w:style>
  <w:style w:type="character" w:styleId="ListLabel325">
    <w:name w:val="ListLabel 325"/>
    <w:qFormat/>
    <w:rPr>
      <w:rFonts w:ascii="Arial" w:hAnsi="Arial" w:cs="Arial"/>
    </w:rPr>
  </w:style>
  <w:style w:type="character" w:styleId="ListLabel326">
    <w:name w:val="ListLabel 326"/>
    <w:qFormat/>
    <w:rPr>
      <w:rFonts w:ascii="Arial" w:hAnsi="Arial" w:cs="Arial"/>
    </w:rPr>
  </w:style>
  <w:style w:type="character" w:styleId="ListLabel327">
    <w:name w:val="ListLabel 327"/>
    <w:qFormat/>
    <w:rPr>
      <w:rFonts w:ascii="Arial" w:hAnsi="Arial" w:cs="Symbol"/>
    </w:rPr>
  </w:style>
  <w:style w:type="character" w:styleId="ListLabel328">
    <w:name w:val="ListLabel 328"/>
    <w:qFormat/>
    <w:rPr>
      <w:rFonts w:cs="Courier New"/>
    </w:rPr>
  </w:style>
  <w:style w:type="character" w:styleId="ListLabel329">
    <w:name w:val="ListLabel 329"/>
    <w:qFormat/>
    <w:rPr>
      <w:rFonts w:cs="Wingdings"/>
    </w:rPr>
  </w:style>
  <w:style w:type="character" w:styleId="ListLabel330">
    <w:name w:val="ListLabel 330"/>
    <w:qFormat/>
    <w:rPr>
      <w:rFonts w:cs="Symbol"/>
    </w:rPr>
  </w:style>
  <w:style w:type="character" w:styleId="ListLabel331">
    <w:name w:val="ListLabel 331"/>
    <w:qFormat/>
    <w:rPr>
      <w:rFonts w:cs="Courier New"/>
    </w:rPr>
  </w:style>
  <w:style w:type="character" w:styleId="ListLabel332">
    <w:name w:val="ListLabel 332"/>
    <w:qFormat/>
    <w:rPr>
      <w:rFonts w:cs="Wingdings"/>
    </w:rPr>
  </w:style>
  <w:style w:type="character" w:styleId="ListLabel333">
    <w:name w:val="ListLabel 333"/>
    <w:qFormat/>
    <w:rPr>
      <w:rFonts w:cs="Symbol"/>
    </w:rPr>
  </w:style>
  <w:style w:type="character" w:styleId="ListLabel334">
    <w:name w:val="ListLabel 334"/>
    <w:qFormat/>
    <w:rPr>
      <w:rFonts w:cs="Courier New"/>
    </w:rPr>
  </w:style>
  <w:style w:type="character" w:styleId="ListLabel335">
    <w:name w:val="ListLabel 335"/>
    <w:qFormat/>
    <w:rPr>
      <w:rFonts w:cs="Wingdings"/>
    </w:rPr>
  </w:style>
  <w:style w:type="character" w:styleId="ListLabel336">
    <w:name w:val="ListLabel 336"/>
    <w:qFormat/>
    <w:rPr>
      <w:rFonts w:ascii="Arial" w:hAnsi="Arial" w:cs="Wingdings"/>
    </w:rPr>
  </w:style>
  <w:style w:type="character" w:styleId="ListLabel337">
    <w:name w:val="ListLabel 337"/>
    <w:qFormat/>
    <w:rPr>
      <w:rFonts w:cs="Courier New"/>
    </w:rPr>
  </w:style>
  <w:style w:type="character" w:styleId="ListLabel338">
    <w:name w:val="ListLabel 338"/>
    <w:qFormat/>
    <w:rPr>
      <w:rFonts w:cs="Wingdings"/>
    </w:rPr>
  </w:style>
  <w:style w:type="character" w:styleId="ListLabel339">
    <w:name w:val="ListLabel 339"/>
    <w:qFormat/>
    <w:rPr>
      <w:rFonts w:cs="Symbol"/>
    </w:rPr>
  </w:style>
  <w:style w:type="character" w:styleId="ListLabel340">
    <w:name w:val="ListLabel 340"/>
    <w:qFormat/>
    <w:rPr>
      <w:rFonts w:cs="Courier New"/>
    </w:rPr>
  </w:style>
  <w:style w:type="character" w:styleId="ListLabel341">
    <w:name w:val="ListLabel 341"/>
    <w:qFormat/>
    <w:rPr>
      <w:rFonts w:cs="Wingdings"/>
    </w:rPr>
  </w:style>
  <w:style w:type="character" w:styleId="ListLabel342">
    <w:name w:val="ListLabel 342"/>
    <w:qFormat/>
    <w:rPr>
      <w:rFonts w:cs="Symbol"/>
    </w:rPr>
  </w:style>
  <w:style w:type="character" w:styleId="ListLabel343">
    <w:name w:val="ListLabel 343"/>
    <w:qFormat/>
    <w:rPr>
      <w:rFonts w:cs="Courier New"/>
    </w:rPr>
  </w:style>
  <w:style w:type="character" w:styleId="ListLabel344">
    <w:name w:val="ListLabel 344"/>
    <w:qFormat/>
    <w:rPr>
      <w:rFonts w:cs="Wingdings"/>
    </w:rPr>
  </w:style>
  <w:style w:type="character" w:styleId="ListLabel345">
    <w:name w:val="ListLabel 345"/>
    <w:qFormat/>
    <w:rPr>
      <w:rFonts w:ascii="Arial" w:hAnsi="Arial" w:cs="Symbol"/>
    </w:rPr>
  </w:style>
  <w:style w:type="character" w:styleId="ListLabel346">
    <w:name w:val="ListLabel 346"/>
    <w:qFormat/>
    <w:rPr>
      <w:rFonts w:cs="Arial"/>
    </w:rPr>
  </w:style>
  <w:style w:type="character" w:styleId="ListLabel347">
    <w:name w:val="ListLabel 347"/>
    <w:qFormat/>
    <w:rPr>
      <w:rFonts w:cs="Wingdings"/>
    </w:rPr>
  </w:style>
  <w:style w:type="character" w:styleId="ListLabel348">
    <w:name w:val="ListLabel 348"/>
    <w:qFormat/>
    <w:rPr>
      <w:rFonts w:cs="Symbol"/>
    </w:rPr>
  </w:style>
  <w:style w:type="character" w:styleId="ListLabel349">
    <w:name w:val="ListLabel 349"/>
    <w:qFormat/>
    <w:rPr>
      <w:rFonts w:cs="Courier New"/>
    </w:rPr>
  </w:style>
  <w:style w:type="character" w:styleId="ListLabel350">
    <w:name w:val="ListLabel 350"/>
    <w:qFormat/>
    <w:rPr>
      <w:rFonts w:cs="Wingdings"/>
    </w:rPr>
  </w:style>
  <w:style w:type="character" w:styleId="ListLabel351">
    <w:name w:val="ListLabel 351"/>
    <w:qFormat/>
    <w:rPr>
      <w:rFonts w:cs="Symbol"/>
    </w:rPr>
  </w:style>
  <w:style w:type="character" w:styleId="ListLabel352">
    <w:name w:val="ListLabel 352"/>
    <w:qFormat/>
    <w:rPr>
      <w:rFonts w:cs="Courier New"/>
    </w:rPr>
  </w:style>
  <w:style w:type="character" w:styleId="ListLabel353">
    <w:name w:val="ListLabel 353"/>
    <w:qFormat/>
    <w:rPr>
      <w:rFonts w:cs="Wingdings"/>
    </w:rPr>
  </w:style>
  <w:style w:type="character" w:styleId="ListLabel354">
    <w:name w:val="ListLabel 354"/>
    <w:qFormat/>
    <w:rPr>
      <w:rFonts w:ascii="Arial" w:hAnsi="Arial" w:cs="Wingdings"/>
    </w:rPr>
  </w:style>
  <w:style w:type="character" w:styleId="ListLabel355">
    <w:name w:val="ListLabel 355"/>
    <w:qFormat/>
    <w:rPr>
      <w:rFonts w:cs="Courier New"/>
    </w:rPr>
  </w:style>
  <w:style w:type="character" w:styleId="ListLabel356">
    <w:name w:val="ListLabel 356"/>
    <w:qFormat/>
    <w:rPr>
      <w:rFonts w:cs="Wingdings"/>
    </w:rPr>
  </w:style>
  <w:style w:type="character" w:styleId="ListLabel357">
    <w:name w:val="ListLabel 357"/>
    <w:qFormat/>
    <w:rPr>
      <w:rFonts w:cs="Symbol"/>
    </w:rPr>
  </w:style>
  <w:style w:type="character" w:styleId="ListLabel358">
    <w:name w:val="ListLabel 358"/>
    <w:qFormat/>
    <w:rPr>
      <w:rFonts w:cs="Courier New"/>
    </w:rPr>
  </w:style>
  <w:style w:type="character" w:styleId="ListLabel359">
    <w:name w:val="ListLabel 359"/>
    <w:qFormat/>
    <w:rPr>
      <w:rFonts w:cs="Wingdings"/>
    </w:rPr>
  </w:style>
  <w:style w:type="character" w:styleId="ListLabel360">
    <w:name w:val="ListLabel 360"/>
    <w:qFormat/>
    <w:rPr>
      <w:rFonts w:cs="Symbol"/>
    </w:rPr>
  </w:style>
  <w:style w:type="character" w:styleId="ListLabel361">
    <w:name w:val="ListLabel 361"/>
    <w:qFormat/>
    <w:rPr>
      <w:rFonts w:cs="Courier New"/>
    </w:rPr>
  </w:style>
  <w:style w:type="character" w:styleId="ListLabel362">
    <w:name w:val="ListLabel 362"/>
    <w:qFormat/>
    <w:rPr>
      <w:rFonts w:cs="Wingdings"/>
    </w:rPr>
  </w:style>
  <w:style w:type="character" w:styleId="ListLabel363">
    <w:name w:val="ListLabel 363"/>
    <w:qFormat/>
    <w:rPr>
      <w:rFonts w:ascii="Arial" w:hAnsi="Arial" w:cs="Arial"/>
    </w:rPr>
  </w:style>
  <w:style w:type="character" w:styleId="ListLabel364">
    <w:name w:val="ListLabel 364"/>
    <w:qFormat/>
    <w:rPr>
      <w:rFonts w:ascii="Arial" w:hAnsi="Arial" w:cs="Times New Roman"/>
    </w:rPr>
  </w:style>
  <w:style w:type="character" w:styleId="ListLabel365">
    <w:name w:val="ListLabel 365"/>
    <w:qFormat/>
    <w:rPr>
      <w:rFonts w:ascii="Arial" w:hAnsi="Arial" w:cs="Arial"/>
      <w:sz w:val="22"/>
    </w:rPr>
  </w:style>
  <w:style w:type="character" w:styleId="ListLabel366">
    <w:name w:val="ListLabel 366"/>
    <w:qFormat/>
    <w:rPr>
      <w:rFonts w:ascii="Arial" w:hAnsi="Arial" w:cs="Arial"/>
      <w:sz w:val="22"/>
    </w:rPr>
  </w:style>
  <w:style w:type="character" w:styleId="ListLabel367">
    <w:name w:val="ListLabel 367"/>
    <w:qFormat/>
    <w:rPr>
      <w:rFonts w:ascii="Arial" w:hAnsi="Arial" w:cs="Symbol"/>
    </w:rPr>
  </w:style>
  <w:style w:type="character" w:styleId="ListLabel368">
    <w:name w:val="ListLabel 368"/>
    <w:qFormat/>
    <w:rPr>
      <w:rFonts w:cs="Courier New"/>
    </w:rPr>
  </w:style>
  <w:style w:type="character" w:styleId="ListLabel369">
    <w:name w:val="ListLabel 369"/>
    <w:qFormat/>
    <w:rPr>
      <w:rFonts w:cs="Wingdings"/>
    </w:rPr>
  </w:style>
  <w:style w:type="character" w:styleId="ListLabel370">
    <w:name w:val="ListLabel 370"/>
    <w:qFormat/>
    <w:rPr>
      <w:rFonts w:cs="Symbol"/>
    </w:rPr>
  </w:style>
  <w:style w:type="character" w:styleId="ListLabel371">
    <w:name w:val="ListLabel 371"/>
    <w:qFormat/>
    <w:rPr>
      <w:rFonts w:cs="Courier New"/>
    </w:rPr>
  </w:style>
  <w:style w:type="character" w:styleId="ListLabel372">
    <w:name w:val="ListLabel 372"/>
    <w:qFormat/>
    <w:rPr>
      <w:rFonts w:cs="Wingdings"/>
    </w:rPr>
  </w:style>
  <w:style w:type="character" w:styleId="ListLabel373">
    <w:name w:val="ListLabel 373"/>
    <w:qFormat/>
    <w:rPr>
      <w:rFonts w:cs="Symbol"/>
    </w:rPr>
  </w:style>
  <w:style w:type="character" w:styleId="ListLabel374">
    <w:name w:val="ListLabel 374"/>
    <w:qFormat/>
    <w:rPr>
      <w:rFonts w:cs="Courier New"/>
    </w:rPr>
  </w:style>
  <w:style w:type="character" w:styleId="ListLabel375">
    <w:name w:val="ListLabel 375"/>
    <w:qFormat/>
    <w:rPr>
      <w:rFonts w:cs="Wingdings"/>
    </w:rPr>
  </w:style>
  <w:style w:type="character" w:styleId="ListLabel376">
    <w:name w:val="ListLabel 376"/>
    <w:qFormat/>
    <w:rPr>
      <w:rFonts w:ascii="Arial" w:hAnsi="Arial" w:cs="Symbol"/>
    </w:rPr>
  </w:style>
  <w:style w:type="character" w:styleId="ListLabel377">
    <w:name w:val="ListLabel 377"/>
    <w:qFormat/>
    <w:rPr>
      <w:rFonts w:cs="Courier New"/>
    </w:rPr>
  </w:style>
  <w:style w:type="character" w:styleId="ListLabel378">
    <w:name w:val="ListLabel 378"/>
    <w:qFormat/>
    <w:rPr>
      <w:rFonts w:cs="Wingdings"/>
    </w:rPr>
  </w:style>
  <w:style w:type="character" w:styleId="ListLabel379">
    <w:name w:val="ListLabel 379"/>
    <w:qFormat/>
    <w:rPr>
      <w:rFonts w:cs="Symbol"/>
    </w:rPr>
  </w:style>
  <w:style w:type="character" w:styleId="ListLabel380">
    <w:name w:val="ListLabel 380"/>
    <w:qFormat/>
    <w:rPr>
      <w:rFonts w:cs="Courier New"/>
    </w:rPr>
  </w:style>
  <w:style w:type="character" w:styleId="ListLabel381">
    <w:name w:val="ListLabel 381"/>
    <w:qFormat/>
    <w:rPr>
      <w:rFonts w:cs="Wingdings"/>
    </w:rPr>
  </w:style>
  <w:style w:type="character" w:styleId="ListLabel382">
    <w:name w:val="ListLabel 382"/>
    <w:qFormat/>
    <w:rPr>
      <w:rFonts w:cs="Symbol"/>
    </w:rPr>
  </w:style>
  <w:style w:type="character" w:styleId="ListLabel383">
    <w:name w:val="ListLabel 383"/>
    <w:qFormat/>
    <w:rPr>
      <w:rFonts w:cs="Courier New"/>
    </w:rPr>
  </w:style>
  <w:style w:type="character" w:styleId="ListLabel384">
    <w:name w:val="ListLabel 384"/>
    <w:qFormat/>
    <w:rPr>
      <w:rFonts w:cs="Wingdings"/>
    </w:rPr>
  </w:style>
  <w:style w:type="character" w:styleId="ListLabel385">
    <w:name w:val="ListLabel 385"/>
    <w:qFormat/>
    <w:rPr>
      <w:rFonts w:ascii="Arial" w:hAnsi="Arial" w:cs="Symbol"/>
    </w:rPr>
  </w:style>
  <w:style w:type="character" w:styleId="ListLabel386">
    <w:name w:val="ListLabel 386"/>
    <w:qFormat/>
    <w:rPr>
      <w:rFonts w:cs="Courier New"/>
    </w:rPr>
  </w:style>
  <w:style w:type="character" w:styleId="ListLabel387">
    <w:name w:val="ListLabel 387"/>
    <w:qFormat/>
    <w:rPr>
      <w:rFonts w:cs="Wingdings"/>
    </w:rPr>
  </w:style>
  <w:style w:type="character" w:styleId="ListLabel388">
    <w:name w:val="ListLabel 388"/>
    <w:qFormat/>
    <w:rPr>
      <w:rFonts w:cs="Symbol"/>
    </w:rPr>
  </w:style>
  <w:style w:type="character" w:styleId="ListLabel389">
    <w:name w:val="ListLabel 389"/>
    <w:qFormat/>
    <w:rPr>
      <w:rFonts w:cs="Courier New"/>
    </w:rPr>
  </w:style>
  <w:style w:type="character" w:styleId="ListLabel390">
    <w:name w:val="ListLabel 390"/>
    <w:qFormat/>
    <w:rPr>
      <w:rFonts w:cs="Wingdings"/>
    </w:rPr>
  </w:style>
  <w:style w:type="character" w:styleId="ListLabel391">
    <w:name w:val="ListLabel 391"/>
    <w:qFormat/>
    <w:rPr>
      <w:rFonts w:cs="Symbol"/>
    </w:rPr>
  </w:style>
  <w:style w:type="character" w:styleId="ListLabel392">
    <w:name w:val="ListLabel 392"/>
    <w:qFormat/>
    <w:rPr>
      <w:rFonts w:cs="Courier New"/>
    </w:rPr>
  </w:style>
  <w:style w:type="character" w:styleId="ListLabel393">
    <w:name w:val="ListLabel 393"/>
    <w:qFormat/>
    <w:rPr>
      <w:rFonts w:cs="Wingdings"/>
    </w:rPr>
  </w:style>
  <w:style w:type="character" w:styleId="ListLabel394">
    <w:name w:val="ListLabel 394"/>
    <w:qFormat/>
    <w:rPr>
      <w:rFonts w:ascii="Arial" w:hAnsi="Arial" w:cs="Symbol"/>
      <w:b w:val="false"/>
    </w:rPr>
  </w:style>
  <w:style w:type="character" w:styleId="ListLabel395">
    <w:name w:val="ListLabel 395"/>
    <w:qFormat/>
    <w:rPr>
      <w:rFonts w:cs="Courier New"/>
    </w:rPr>
  </w:style>
  <w:style w:type="character" w:styleId="ListLabel396">
    <w:name w:val="ListLabel 396"/>
    <w:qFormat/>
    <w:rPr>
      <w:rFonts w:cs="Wingdings"/>
    </w:rPr>
  </w:style>
  <w:style w:type="character" w:styleId="ListLabel397">
    <w:name w:val="ListLabel 397"/>
    <w:qFormat/>
    <w:rPr>
      <w:rFonts w:cs="Symbol"/>
    </w:rPr>
  </w:style>
  <w:style w:type="character" w:styleId="ListLabel398">
    <w:name w:val="ListLabel 398"/>
    <w:qFormat/>
    <w:rPr>
      <w:rFonts w:cs="Courier New"/>
    </w:rPr>
  </w:style>
  <w:style w:type="character" w:styleId="ListLabel399">
    <w:name w:val="ListLabel 399"/>
    <w:qFormat/>
    <w:rPr>
      <w:rFonts w:cs="Wingdings"/>
    </w:rPr>
  </w:style>
  <w:style w:type="character" w:styleId="ListLabel400">
    <w:name w:val="ListLabel 400"/>
    <w:qFormat/>
    <w:rPr>
      <w:rFonts w:cs="Symbol"/>
    </w:rPr>
  </w:style>
  <w:style w:type="character" w:styleId="ListLabel401">
    <w:name w:val="ListLabel 401"/>
    <w:qFormat/>
    <w:rPr>
      <w:rFonts w:cs="Courier New"/>
    </w:rPr>
  </w:style>
  <w:style w:type="character" w:styleId="ListLabel402">
    <w:name w:val="ListLabel 402"/>
    <w:qFormat/>
    <w:rPr>
      <w:rFonts w:cs="Wingdings"/>
    </w:rPr>
  </w:style>
  <w:style w:type="character" w:styleId="ListLabel403">
    <w:name w:val="ListLabel 403"/>
    <w:qFormat/>
    <w:rPr>
      <w:rFonts w:ascii="Arial" w:hAnsi="Arial" w:cs="Symbol"/>
    </w:rPr>
  </w:style>
  <w:style w:type="character" w:styleId="ListLabel404">
    <w:name w:val="ListLabel 404"/>
    <w:qFormat/>
    <w:rPr>
      <w:rFonts w:cs="Courier New"/>
    </w:rPr>
  </w:style>
  <w:style w:type="character" w:styleId="ListLabel405">
    <w:name w:val="ListLabel 405"/>
    <w:qFormat/>
    <w:rPr>
      <w:rFonts w:cs="Wingdings"/>
    </w:rPr>
  </w:style>
  <w:style w:type="character" w:styleId="ListLabel406">
    <w:name w:val="ListLabel 406"/>
    <w:qFormat/>
    <w:rPr>
      <w:rFonts w:cs="Symbol"/>
    </w:rPr>
  </w:style>
  <w:style w:type="character" w:styleId="ListLabel407">
    <w:name w:val="ListLabel 407"/>
    <w:qFormat/>
    <w:rPr>
      <w:rFonts w:cs="Courier New"/>
    </w:rPr>
  </w:style>
  <w:style w:type="character" w:styleId="ListLabel408">
    <w:name w:val="ListLabel 408"/>
    <w:qFormat/>
    <w:rPr>
      <w:rFonts w:cs="Wingdings"/>
    </w:rPr>
  </w:style>
  <w:style w:type="character" w:styleId="ListLabel409">
    <w:name w:val="ListLabel 409"/>
    <w:qFormat/>
    <w:rPr>
      <w:rFonts w:cs="Symbol"/>
    </w:rPr>
  </w:style>
  <w:style w:type="character" w:styleId="ListLabel410">
    <w:name w:val="ListLabel 410"/>
    <w:qFormat/>
    <w:rPr>
      <w:rFonts w:cs="Courier New"/>
    </w:rPr>
  </w:style>
  <w:style w:type="character" w:styleId="ListLabel411">
    <w:name w:val="ListLabel 411"/>
    <w:qFormat/>
    <w:rPr>
      <w:rFonts w:cs="Wingdings"/>
    </w:rPr>
  </w:style>
  <w:style w:type="character" w:styleId="ListLabel412">
    <w:name w:val="ListLabel 412"/>
    <w:qFormat/>
    <w:rPr>
      <w:rFonts w:ascii="Arial" w:hAnsi="Arial" w:cs="Symbol"/>
    </w:rPr>
  </w:style>
  <w:style w:type="character" w:styleId="ListLabel413">
    <w:name w:val="ListLabel 413"/>
    <w:qFormat/>
    <w:rPr>
      <w:rFonts w:cs="Courier New"/>
    </w:rPr>
  </w:style>
  <w:style w:type="character" w:styleId="ListLabel414">
    <w:name w:val="ListLabel 414"/>
    <w:qFormat/>
    <w:rPr>
      <w:rFonts w:cs="Wingdings"/>
    </w:rPr>
  </w:style>
  <w:style w:type="character" w:styleId="ListLabel415">
    <w:name w:val="ListLabel 415"/>
    <w:qFormat/>
    <w:rPr>
      <w:rFonts w:cs="Symbol"/>
    </w:rPr>
  </w:style>
  <w:style w:type="character" w:styleId="ListLabel416">
    <w:name w:val="ListLabel 416"/>
    <w:qFormat/>
    <w:rPr>
      <w:rFonts w:cs="Courier New"/>
    </w:rPr>
  </w:style>
  <w:style w:type="character" w:styleId="ListLabel417">
    <w:name w:val="ListLabel 417"/>
    <w:qFormat/>
    <w:rPr>
      <w:rFonts w:cs="Wingdings"/>
    </w:rPr>
  </w:style>
  <w:style w:type="character" w:styleId="ListLabel418">
    <w:name w:val="ListLabel 418"/>
    <w:qFormat/>
    <w:rPr>
      <w:rFonts w:cs="Symbol"/>
    </w:rPr>
  </w:style>
  <w:style w:type="character" w:styleId="ListLabel419">
    <w:name w:val="ListLabel 419"/>
    <w:qFormat/>
    <w:rPr>
      <w:rFonts w:cs="Courier New"/>
    </w:rPr>
  </w:style>
  <w:style w:type="character" w:styleId="ListLabel420">
    <w:name w:val="ListLabel 420"/>
    <w:qFormat/>
    <w:rPr>
      <w:rFonts w:cs="Wingdings"/>
    </w:rPr>
  </w:style>
  <w:style w:type="character" w:styleId="ListLabel421">
    <w:name w:val="ListLabel 421"/>
    <w:qFormat/>
    <w:rPr>
      <w:rFonts w:ascii="Arial" w:hAnsi="Arial" w:cs="Wingdings"/>
    </w:rPr>
  </w:style>
  <w:style w:type="character" w:styleId="ListLabel422">
    <w:name w:val="ListLabel 422"/>
    <w:qFormat/>
    <w:rPr>
      <w:rFonts w:cs="Courier New"/>
    </w:rPr>
  </w:style>
  <w:style w:type="character" w:styleId="ListLabel423">
    <w:name w:val="ListLabel 423"/>
    <w:qFormat/>
    <w:rPr>
      <w:rFonts w:cs="Wingdings"/>
    </w:rPr>
  </w:style>
  <w:style w:type="character" w:styleId="ListLabel424">
    <w:name w:val="ListLabel 424"/>
    <w:qFormat/>
    <w:rPr>
      <w:rFonts w:cs="Symbol"/>
    </w:rPr>
  </w:style>
  <w:style w:type="character" w:styleId="ListLabel425">
    <w:name w:val="ListLabel 425"/>
    <w:qFormat/>
    <w:rPr>
      <w:rFonts w:cs="Courier New"/>
    </w:rPr>
  </w:style>
  <w:style w:type="character" w:styleId="ListLabel426">
    <w:name w:val="ListLabel 426"/>
    <w:qFormat/>
    <w:rPr>
      <w:rFonts w:cs="Wingdings"/>
    </w:rPr>
  </w:style>
  <w:style w:type="character" w:styleId="ListLabel427">
    <w:name w:val="ListLabel 427"/>
    <w:qFormat/>
    <w:rPr>
      <w:rFonts w:cs="Symbol"/>
    </w:rPr>
  </w:style>
  <w:style w:type="character" w:styleId="ListLabel428">
    <w:name w:val="ListLabel 428"/>
    <w:qFormat/>
    <w:rPr>
      <w:rFonts w:cs="Courier New"/>
    </w:rPr>
  </w:style>
  <w:style w:type="character" w:styleId="ListLabel429">
    <w:name w:val="ListLabel 429"/>
    <w:qFormat/>
    <w:rPr>
      <w:rFonts w:cs="Wingdings"/>
    </w:rPr>
  </w:style>
  <w:style w:type="character" w:styleId="ListLabel430">
    <w:name w:val="ListLabel 430"/>
    <w:qFormat/>
    <w:rPr>
      <w:rFonts w:ascii="Arial" w:hAnsi="Arial" w:cs="Symbol"/>
    </w:rPr>
  </w:style>
  <w:style w:type="character" w:styleId="ListLabel431">
    <w:name w:val="ListLabel 431"/>
    <w:qFormat/>
    <w:rPr>
      <w:rFonts w:cs="Courier New"/>
    </w:rPr>
  </w:style>
  <w:style w:type="character" w:styleId="ListLabel432">
    <w:name w:val="ListLabel 432"/>
    <w:qFormat/>
    <w:rPr>
      <w:rFonts w:cs="Wingdings"/>
    </w:rPr>
  </w:style>
  <w:style w:type="character" w:styleId="ListLabel433">
    <w:name w:val="ListLabel 433"/>
    <w:qFormat/>
    <w:rPr>
      <w:rFonts w:cs="Symbol"/>
    </w:rPr>
  </w:style>
  <w:style w:type="character" w:styleId="ListLabel434">
    <w:name w:val="ListLabel 434"/>
    <w:qFormat/>
    <w:rPr>
      <w:rFonts w:cs="Courier New"/>
    </w:rPr>
  </w:style>
  <w:style w:type="character" w:styleId="ListLabel435">
    <w:name w:val="ListLabel 435"/>
    <w:qFormat/>
    <w:rPr>
      <w:rFonts w:cs="Wingdings"/>
    </w:rPr>
  </w:style>
  <w:style w:type="character" w:styleId="ListLabel436">
    <w:name w:val="ListLabel 436"/>
    <w:qFormat/>
    <w:rPr>
      <w:rFonts w:cs="Symbol"/>
    </w:rPr>
  </w:style>
  <w:style w:type="character" w:styleId="ListLabel437">
    <w:name w:val="ListLabel 437"/>
    <w:qFormat/>
    <w:rPr>
      <w:rFonts w:cs="Courier New"/>
    </w:rPr>
  </w:style>
  <w:style w:type="character" w:styleId="ListLabel438">
    <w:name w:val="ListLabel 438"/>
    <w:qFormat/>
    <w:rPr>
      <w:rFonts w:cs="Wingdings"/>
    </w:rPr>
  </w:style>
  <w:style w:type="character" w:styleId="ListLabel439">
    <w:name w:val="ListLabel 439"/>
    <w:qFormat/>
    <w:rPr>
      <w:rFonts w:ascii="Arial" w:hAnsi="Arial" w:cs="Wingdings"/>
    </w:rPr>
  </w:style>
  <w:style w:type="character" w:styleId="ListLabel440">
    <w:name w:val="ListLabel 440"/>
    <w:qFormat/>
    <w:rPr>
      <w:rFonts w:cs="Courier New"/>
    </w:rPr>
  </w:style>
  <w:style w:type="character" w:styleId="ListLabel441">
    <w:name w:val="ListLabel 441"/>
    <w:qFormat/>
    <w:rPr>
      <w:rFonts w:cs="Wingdings"/>
    </w:rPr>
  </w:style>
  <w:style w:type="character" w:styleId="ListLabel442">
    <w:name w:val="ListLabel 442"/>
    <w:qFormat/>
    <w:rPr>
      <w:rFonts w:cs="Symbol"/>
    </w:rPr>
  </w:style>
  <w:style w:type="character" w:styleId="ListLabel443">
    <w:name w:val="ListLabel 443"/>
    <w:qFormat/>
    <w:rPr>
      <w:rFonts w:cs="Courier New"/>
    </w:rPr>
  </w:style>
  <w:style w:type="character" w:styleId="ListLabel444">
    <w:name w:val="ListLabel 444"/>
    <w:qFormat/>
    <w:rPr>
      <w:rFonts w:cs="Wingdings"/>
    </w:rPr>
  </w:style>
  <w:style w:type="character" w:styleId="ListLabel445">
    <w:name w:val="ListLabel 445"/>
    <w:qFormat/>
    <w:rPr>
      <w:rFonts w:cs="Symbol"/>
    </w:rPr>
  </w:style>
  <w:style w:type="character" w:styleId="ListLabel446">
    <w:name w:val="ListLabel 446"/>
    <w:qFormat/>
    <w:rPr>
      <w:rFonts w:cs="Courier New"/>
    </w:rPr>
  </w:style>
  <w:style w:type="character" w:styleId="ListLabel447">
    <w:name w:val="ListLabel 447"/>
    <w:qFormat/>
    <w:rPr>
      <w:rFonts w:cs="Wingdings"/>
    </w:rPr>
  </w:style>
  <w:style w:type="character" w:styleId="ListLabel448">
    <w:name w:val="ListLabel 448"/>
    <w:qFormat/>
    <w:rPr>
      <w:rFonts w:ascii="Arial" w:hAnsi="Arial" w:cs="Symbol"/>
    </w:rPr>
  </w:style>
  <w:style w:type="character" w:styleId="ListLabel449">
    <w:name w:val="ListLabel 449"/>
    <w:qFormat/>
    <w:rPr>
      <w:rFonts w:cs="Courier New"/>
    </w:rPr>
  </w:style>
  <w:style w:type="character" w:styleId="ListLabel450">
    <w:name w:val="ListLabel 450"/>
    <w:qFormat/>
    <w:rPr>
      <w:rFonts w:cs="Wingdings"/>
    </w:rPr>
  </w:style>
  <w:style w:type="character" w:styleId="ListLabel451">
    <w:name w:val="ListLabel 451"/>
    <w:qFormat/>
    <w:rPr>
      <w:rFonts w:cs="Symbol"/>
    </w:rPr>
  </w:style>
  <w:style w:type="character" w:styleId="ListLabel452">
    <w:name w:val="ListLabel 452"/>
    <w:qFormat/>
    <w:rPr>
      <w:rFonts w:cs="Courier New"/>
    </w:rPr>
  </w:style>
  <w:style w:type="character" w:styleId="ListLabel453">
    <w:name w:val="ListLabel 453"/>
    <w:qFormat/>
    <w:rPr>
      <w:rFonts w:cs="Wingdings"/>
    </w:rPr>
  </w:style>
  <w:style w:type="character" w:styleId="ListLabel454">
    <w:name w:val="ListLabel 454"/>
    <w:qFormat/>
    <w:rPr>
      <w:rFonts w:cs="Symbol"/>
    </w:rPr>
  </w:style>
  <w:style w:type="character" w:styleId="ListLabel455">
    <w:name w:val="ListLabel 455"/>
    <w:qFormat/>
    <w:rPr>
      <w:rFonts w:cs="Courier New"/>
    </w:rPr>
  </w:style>
  <w:style w:type="character" w:styleId="ListLabel456">
    <w:name w:val="ListLabel 456"/>
    <w:qFormat/>
    <w:rPr>
      <w:rFonts w:cs="Wingdings"/>
    </w:rPr>
  </w:style>
  <w:style w:type="character" w:styleId="ListLabel457">
    <w:name w:val="ListLabel 457"/>
    <w:qFormat/>
    <w:rPr>
      <w:rFonts w:ascii="Arial" w:hAnsi="Arial" w:cs="Symbol"/>
    </w:rPr>
  </w:style>
  <w:style w:type="character" w:styleId="ListLabel458">
    <w:name w:val="ListLabel 458"/>
    <w:qFormat/>
    <w:rPr>
      <w:rFonts w:cs="Courier New"/>
    </w:rPr>
  </w:style>
  <w:style w:type="character" w:styleId="ListLabel459">
    <w:name w:val="ListLabel 459"/>
    <w:qFormat/>
    <w:rPr>
      <w:rFonts w:cs="Wingdings"/>
    </w:rPr>
  </w:style>
  <w:style w:type="character" w:styleId="ListLabel460">
    <w:name w:val="ListLabel 460"/>
    <w:qFormat/>
    <w:rPr>
      <w:rFonts w:cs="Symbol"/>
    </w:rPr>
  </w:style>
  <w:style w:type="character" w:styleId="ListLabel461">
    <w:name w:val="ListLabel 461"/>
    <w:qFormat/>
    <w:rPr>
      <w:rFonts w:cs="Courier New"/>
    </w:rPr>
  </w:style>
  <w:style w:type="character" w:styleId="ListLabel462">
    <w:name w:val="ListLabel 462"/>
    <w:qFormat/>
    <w:rPr>
      <w:rFonts w:cs="Wingdings"/>
    </w:rPr>
  </w:style>
  <w:style w:type="character" w:styleId="ListLabel463">
    <w:name w:val="ListLabel 463"/>
    <w:qFormat/>
    <w:rPr>
      <w:rFonts w:cs="Symbol"/>
    </w:rPr>
  </w:style>
  <w:style w:type="character" w:styleId="ListLabel464">
    <w:name w:val="ListLabel 464"/>
    <w:qFormat/>
    <w:rPr>
      <w:rFonts w:cs="Courier New"/>
    </w:rPr>
  </w:style>
  <w:style w:type="character" w:styleId="ListLabel465">
    <w:name w:val="ListLabel 465"/>
    <w:qFormat/>
    <w:rPr>
      <w:rFonts w:cs="Wingdings"/>
    </w:rPr>
  </w:style>
  <w:style w:type="character" w:styleId="ListLabel466">
    <w:name w:val="ListLabel 466"/>
    <w:qFormat/>
    <w:rPr>
      <w:rFonts w:ascii="Arial" w:hAnsi="Arial"/>
      <w:b/>
      <w:bCs w:val="false"/>
    </w:rPr>
  </w:style>
  <w:style w:type="character" w:styleId="ListLabel467">
    <w:name w:val="ListLabel 467"/>
    <w:qFormat/>
    <w:rPr>
      <w:rFonts w:ascii="Arial" w:hAnsi="Arial" w:cs="Arial"/>
    </w:rPr>
  </w:style>
  <w:style w:type="character" w:styleId="ListLabel468">
    <w:name w:val="ListLabel 468"/>
    <w:qFormat/>
    <w:rPr>
      <w:rFonts w:ascii="Arial" w:hAnsi="Arial" w:cs="Arial"/>
      <w:color w:val="000000"/>
      <w:u w:val="none"/>
    </w:rPr>
  </w:style>
  <w:style w:type="character" w:styleId="ListLabel469">
    <w:name w:val="ListLabel 469"/>
    <w:qFormat/>
    <w:rPr>
      <w:rFonts w:ascii="Arial" w:hAnsi="Arial" w:cs="Arial"/>
      <w:i/>
      <w:color w:val="000000"/>
      <w:u w:val="none"/>
    </w:rPr>
  </w:style>
  <w:style w:type="character" w:styleId="ListLabel470">
    <w:name w:val="ListLabel 470"/>
    <w:qFormat/>
    <w:rPr>
      <w:rFonts w:ascii="Arial" w:hAnsi="Arial"/>
      <w:b/>
      <w:sz w:val="24"/>
    </w:rPr>
  </w:style>
  <w:style w:type="character" w:styleId="ListLabel471">
    <w:name w:val="ListLabel 471"/>
    <w:qFormat/>
    <w:rPr>
      <w:rFonts w:ascii="Arial" w:hAnsi="Arial"/>
      <w:b/>
      <w:sz w:val="24"/>
    </w:rPr>
  </w:style>
  <w:style w:type="character" w:styleId="ListLabel472">
    <w:name w:val="ListLabel 472"/>
    <w:qFormat/>
    <w:rPr>
      <w:rFonts w:ascii="Arial" w:hAnsi="Arial"/>
      <w:b/>
      <w:sz w:val="24"/>
    </w:rPr>
  </w:style>
  <w:style w:type="character" w:styleId="ListLabel473">
    <w:name w:val="ListLabel 473"/>
    <w:qFormat/>
    <w:rPr>
      <w:i/>
    </w:rPr>
  </w:style>
  <w:style w:type="character" w:styleId="ListLabel474">
    <w:name w:val="ListLabel 474"/>
    <w:qFormat/>
    <w:rPr>
      <w:rFonts w:ascii="Arial" w:hAnsi="Arial"/>
      <w:b/>
      <w:sz w:val="22"/>
    </w:rPr>
  </w:style>
  <w:style w:type="character" w:styleId="ListLabel475">
    <w:name w:val="ListLabel 475"/>
    <w:qFormat/>
    <w:rPr>
      <w:b/>
    </w:rPr>
  </w:style>
  <w:style w:type="character" w:styleId="ListLabel476">
    <w:name w:val="ListLabel 476"/>
    <w:qFormat/>
    <w:rPr>
      <w:rFonts w:ascii="Arial" w:hAnsi="Arial"/>
      <w:b/>
    </w:rPr>
  </w:style>
  <w:style w:type="character" w:styleId="ListLabel477">
    <w:name w:val="ListLabel 477"/>
    <w:qFormat/>
    <w:rPr>
      <w:rFonts w:ascii="Arial" w:hAnsi="Arial" w:cs="Symbol"/>
    </w:rPr>
  </w:style>
  <w:style w:type="character" w:styleId="ListLabel478">
    <w:name w:val="ListLabel 478"/>
    <w:qFormat/>
    <w:rPr>
      <w:rFonts w:cs="Courier New"/>
    </w:rPr>
  </w:style>
  <w:style w:type="character" w:styleId="ListLabel479">
    <w:name w:val="ListLabel 479"/>
    <w:qFormat/>
    <w:rPr>
      <w:rFonts w:cs="Wingdings"/>
    </w:rPr>
  </w:style>
  <w:style w:type="character" w:styleId="ListLabel480">
    <w:name w:val="ListLabel 480"/>
    <w:qFormat/>
    <w:rPr>
      <w:rFonts w:cs="Symbol"/>
    </w:rPr>
  </w:style>
  <w:style w:type="character" w:styleId="ListLabel481">
    <w:name w:val="ListLabel 481"/>
    <w:qFormat/>
    <w:rPr>
      <w:rFonts w:cs="Courier New"/>
    </w:rPr>
  </w:style>
  <w:style w:type="character" w:styleId="ListLabel482">
    <w:name w:val="ListLabel 482"/>
    <w:qFormat/>
    <w:rPr>
      <w:rFonts w:cs="Wingdings"/>
    </w:rPr>
  </w:style>
  <w:style w:type="character" w:styleId="ListLabel483">
    <w:name w:val="ListLabel 483"/>
    <w:qFormat/>
    <w:rPr>
      <w:rFonts w:cs="Symbol"/>
    </w:rPr>
  </w:style>
  <w:style w:type="character" w:styleId="ListLabel484">
    <w:name w:val="ListLabel 484"/>
    <w:qFormat/>
    <w:rPr>
      <w:rFonts w:cs="Courier New"/>
    </w:rPr>
  </w:style>
  <w:style w:type="character" w:styleId="ListLabel485">
    <w:name w:val="ListLabel 485"/>
    <w:qFormat/>
    <w:rPr>
      <w:rFonts w:cs="Wingdings"/>
    </w:rPr>
  </w:style>
  <w:style w:type="character" w:styleId="ListLabel486">
    <w:name w:val="ListLabel 486"/>
    <w:qFormat/>
    <w:rPr>
      <w:rFonts w:ascii="Arial" w:hAnsi="Arial" w:cs="Symbol"/>
    </w:rPr>
  </w:style>
  <w:style w:type="character" w:styleId="ListLabel487">
    <w:name w:val="ListLabel 487"/>
    <w:qFormat/>
    <w:rPr>
      <w:rFonts w:cs="Courier New"/>
    </w:rPr>
  </w:style>
  <w:style w:type="character" w:styleId="ListLabel488">
    <w:name w:val="ListLabel 488"/>
    <w:qFormat/>
    <w:rPr>
      <w:rFonts w:cs="Wingdings"/>
    </w:rPr>
  </w:style>
  <w:style w:type="character" w:styleId="ListLabel489">
    <w:name w:val="ListLabel 489"/>
    <w:qFormat/>
    <w:rPr>
      <w:rFonts w:cs="Symbol"/>
    </w:rPr>
  </w:style>
  <w:style w:type="character" w:styleId="ListLabel490">
    <w:name w:val="ListLabel 490"/>
    <w:qFormat/>
    <w:rPr>
      <w:rFonts w:cs="Courier New"/>
    </w:rPr>
  </w:style>
  <w:style w:type="character" w:styleId="ListLabel491">
    <w:name w:val="ListLabel 491"/>
    <w:qFormat/>
    <w:rPr>
      <w:rFonts w:cs="Wingdings"/>
    </w:rPr>
  </w:style>
  <w:style w:type="character" w:styleId="ListLabel492">
    <w:name w:val="ListLabel 492"/>
    <w:qFormat/>
    <w:rPr>
      <w:rFonts w:cs="Symbol"/>
    </w:rPr>
  </w:style>
  <w:style w:type="character" w:styleId="ListLabel493">
    <w:name w:val="ListLabel 493"/>
    <w:qFormat/>
    <w:rPr>
      <w:rFonts w:cs="Courier New"/>
    </w:rPr>
  </w:style>
  <w:style w:type="character" w:styleId="ListLabel494">
    <w:name w:val="ListLabel 494"/>
    <w:qFormat/>
    <w:rPr>
      <w:rFonts w:cs="Wingdings"/>
    </w:rPr>
  </w:style>
  <w:style w:type="character" w:styleId="ListLabel495">
    <w:name w:val="ListLabel 495"/>
    <w:qFormat/>
    <w:rPr>
      <w:rFonts w:ascii="Arial" w:hAnsi="Arial" w:cs="Symbol"/>
    </w:rPr>
  </w:style>
  <w:style w:type="character" w:styleId="ListLabel496">
    <w:name w:val="ListLabel 496"/>
    <w:qFormat/>
    <w:rPr>
      <w:rFonts w:cs="Courier New"/>
    </w:rPr>
  </w:style>
  <w:style w:type="character" w:styleId="ListLabel497">
    <w:name w:val="ListLabel 497"/>
    <w:qFormat/>
    <w:rPr>
      <w:rFonts w:cs="Wingdings"/>
    </w:rPr>
  </w:style>
  <w:style w:type="character" w:styleId="ListLabel498">
    <w:name w:val="ListLabel 498"/>
    <w:qFormat/>
    <w:rPr>
      <w:rFonts w:cs="Symbol"/>
    </w:rPr>
  </w:style>
  <w:style w:type="character" w:styleId="ListLabel499">
    <w:name w:val="ListLabel 499"/>
    <w:qFormat/>
    <w:rPr>
      <w:rFonts w:cs="Courier New"/>
    </w:rPr>
  </w:style>
  <w:style w:type="character" w:styleId="ListLabel500">
    <w:name w:val="ListLabel 500"/>
    <w:qFormat/>
    <w:rPr>
      <w:rFonts w:cs="Wingdings"/>
    </w:rPr>
  </w:style>
  <w:style w:type="character" w:styleId="ListLabel501">
    <w:name w:val="ListLabel 501"/>
    <w:qFormat/>
    <w:rPr>
      <w:rFonts w:cs="Symbol"/>
    </w:rPr>
  </w:style>
  <w:style w:type="character" w:styleId="ListLabel502">
    <w:name w:val="ListLabel 502"/>
    <w:qFormat/>
    <w:rPr>
      <w:rFonts w:cs="Courier New"/>
    </w:rPr>
  </w:style>
  <w:style w:type="character" w:styleId="ListLabel503">
    <w:name w:val="ListLabel 503"/>
    <w:qFormat/>
    <w:rPr>
      <w:rFonts w:cs="Wingdings"/>
    </w:rPr>
  </w:style>
  <w:style w:type="character" w:styleId="ListLabel504">
    <w:name w:val="ListLabel 504"/>
    <w:qFormat/>
    <w:rPr>
      <w:rFonts w:ascii="Arial" w:hAnsi="Arial" w:cs="Symbol"/>
    </w:rPr>
  </w:style>
  <w:style w:type="character" w:styleId="ListLabel505">
    <w:name w:val="ListLabel 505"/>
    <w:qFormat/>
    <w:rPr>
      <w:rFonts w:cs="Wingdings"/>
    </w:rPr>
  </w:style>
  <w:style w:type="character" w:styleId="ListLabel506">
    <w:name w:val="ListLabel 506"/>
    <w:qFormat/>
    <w:rPr>
      <w:rFonts w:cs="Symbol"/>
    </w:rPr>
  </w:style>
  <w:style w:type="character" w:styleId="ListLabel507">
    <w:name w:val="ListLabel 507"/>
    <w:qFormat/>
    <w:rPr>
      <w:rFonts w:cs="Courier New"/>
    </w:rPr>
  </w:style>
  <w:style w:type="character" w:styleId="ListLabel508">
    <w:name w:val="ListLabel 508"/>
    <w:qFormat/>
    <w:rPr>
      <w:rFonts w:cs="Wingdings"/>
    </w:rPr>
  </w:style>
  <w:style w:type="character" w:styleId="ListLabel509">
    <w:name w:val="ListLabel 509"/>
    <w:qFormat/>
    <w:rPr>
      <w:rFonts w:cs="Symbol"/>
    </w:rPr>
  </w:style>
  <w:style w:type="character" w:styleId="ListLabel510">
    <w:name w:val="ListLabel 510"/>
    <w:qFormat/>
    <w:rPr>
      <w:rFonts w:cs="Courier New"/>
    </w:rPr>
  </w:style>
  <w:style w:type="character" w:styleId="ListLabel511">
    <w:name w:val="ListLabel 511"/>
    <w:qFormat/>
    <w:rPr>
      <w:rFonts w:cs="Wingdings"/>
    </w:rPr>
  </w:style>
  <w:style w:type="character" w:styleId="ListLabel512">
    <w:name w:val="ListLabel 512"/>
    <w:qFormat/>
    <w:rPr>
      <w:rFonts w:ascii="Arial" w:hAnsi="Arial" w:cs="Symbol"/>
    </w:rPr>
  </w:style>
  <w:style w:type="character" w:styleId="ListLabel513">
    <w:name w:val="ListLabel 513"/>
    <w:qFormat/>
    <w:rPr>
      <w:rFonts w:cs="Wingdings"/>
    </w:rPr>
  </w:style>
  <w:style w:type="character" w:styleId="ListLabel514">
    <w:name w:val="ListLabel 514"/>
    <w:qFormat/>
    <w:rPr>
      <w:rFonts w:cs="Symbol"/>
    </w:rPr>
  </w:style>
  <w:style w:type="character" w:styleId="ListLabel515">
    <w:name w:val="ListLabel 515"/>
    <w:qFormat/>
    <w:rPr>
      <w:rFonts w:cs="Courier New"/>
    </w:rPr>
  </w:style>
  <w:style w:type="character" w:styleId="ListLabel516">
    <w:name w:val="ListLabel 516"/>
    <w:qFormat/>
    <w:rPr>
      <w:rFonts w:cs="Wingdings"/>
    </w:rPr>
  </w:style>
  <w:style w:type="character" w:styleId="ListLabel517">
    <w:name w:val="ListLabel 517"/>
    <w:qFormat/>
    <w:rPr>
      <w:rFonts w:cs="Symbol"/>
    </w:rPr>
  </w:style>
  <w:style w:type="character" w:styleId="ListLabel518">
    <w:name w:val="ListLabel 518"/>
    <w:qFormat/>
    <w:rPr>
      <w:rFonts w:cs="Courier New"/>
    </w:rPr>
  </w:style>
  <w:style w:type="character" w:styleId="ListLabel519">
    <w:name w:val="ListLabel 519"/>
    <w:qFormat/>
    <w:rPr>
      <w:rFonts w:cs="Wingdings"/>
    </w:rPr>
  </w:style>
  <w:style w:type="character" w:styleId="ListLabel520">
    <w:name w:val="ListLabel 520"/>
    <w:qFormat/>
    <w:rPr>
      <w:rFonts w:ascii="Arial" w:hAnsi="Arial" w:cs="Symbol"/>
    </w:rPr>
  </w:style>
  <w:style w:type="character" w:styleId="ListLabel521">
    <w:name w:val="ListLabel 521"/>
    <w:qFormat/>
    <w:rPr>
      <w:rFonts w:cs="Courier New"/>
    </w:rPr>
  </w:style>
  <w:style w:type="character" w:styleId="ListLabel522">
    <w:name w:val="ListLabel 522"/>
    <w:qFormat/>
    <w:rPr>
      <w:rFonts w:cs="Wingdings"/>
    </w:rPr>
  </w:style>
  <w:style w:type="character" w:styleId="ListLabel523">
    <w:name w:val="ListLabel 523"/>
    <w:qFormat/>
    <w:rPr>
      <w:rFonts w:cs="Symbol"/>
    </w:rPr>
  </w:style>
  <w:style w:type="character" w:styleId="ListLabel524">
    <w:name w:val="ListLabel 524"/>
    <w:qFormat/>
    <w:rPr>
      <w:rFonts w:cs="Courier New"/>
    </w:rPr>
  </w:style>
  <w:style w:type="character" w:styleId="ListLabel525">
    <w:name w:val="ListLabel 525"/>
    <w:qFormat/>
    <w:rPr>
      <w:rFonts w:cs="Wingdings"/>
    </w:rPr>
  </w:style>
  <w:style w:type="character" w:styleId="ListLabel526">
    <w:name w:val="ListLabel 526"/>
    <w:qFormat/>
    <w:rPr>
      <w:rFonts w:cs="Symbol"/>
    </w:rPr>
  </w:style>
  <w:style w:type="character" w:styleId="ListLabel527">
    <w:name w:val="ListLabel 527"/>
    <w:qFormat/>
    <w:rPr>
      <w:rFonts w:cs="Courier New"/>
    </w:rPr>
  </w:style>
  <w:style w:type="character" w:styleId="ListLabel528">
    <w:name w:val="ListLabel 528"/>
    <w:qFormat/>
    <w:rPr>
      <w:rFonts w:cs="Wingdings"/>
    </w:rPr>
  </w:style>
  <w:style w:type="character" w:styleId="ListLabel529">
    <w:name w:val="ListLabel 529"/>
    <w:qFormat/>
    <w:rPr>
      <w:rFonts w:ascii="Arial" w:hAnsi="Arial" w:cs="Symbol"/>
    </w:rPr>
  </w:style>
  <w:style w:type="character" w:styleId="ListLabel530">
    <w:name w:val="ListLabel 530"/>
    <w:qFormat/>
    <w:rPr>
      <w:rFonts w:cs="Courier New"/>
    </w:rPr>
  </w:style>
  <w:style w:type="character" w:styleId="ListLabel531">
    <w:name w:val="ListLabel 531"/>
    <w:qFormat/>
    <w:rPr>
      <w:rFonts w:cs="Wingdings"/>
    </w:rPr>
  </w:style>
  <w:style w:type="character" w:styleId="ListLabel532">
    <w:name w:val="ListLabel 532"/>
    <w:qFormat/>
    <w:rPr>
      <w:rFonts w:cs="Symbol"/>
    </w:rPr>
  </w:style>
  <w:style w:type="character" w:styleId="ListLabel533">
    <w:name w:val="ListLabel 533"/>
    <w:qFormat/>
    <w:rPr>
      <w:rFonts w:cs="Courier New"/>
    </w:rPr>
  </w:style>
  <w:style w:type="character" w:styleId="ListLabel534">
    <w:name w:val="ListLabel 534"/>
    <w:qFormat/>
    <w:rPr>
      <w:rFonts w:cs="Wingdings"/>
    </w:rPr>
  </w:style>
  <w:style w:type="character" w:styleId="ListLabel535">
    <w:name w:val="ListLabel 535"/>
    <w:qFormat/>
    <w:rPr>
      <w:rFonts w:cs="Symbol"/>
    </w:rPr>
  </w:style>
  <w:style w:type="character" w:styleId="ListLabel536">
    <w:name w:val="ListLabel 536"/>
    <w:qFormat/>
    <w:rPr>
      <w:rFonts w:cs="Courier New"/>
    </w:rPr>
  </w:style>
  <w:style w:type="character" w:styleId="ListLabel537">
    <w:name w:val="ListLabel 537"/>
    <w:qFormat/>
    <w:rPr>
      <w:rFonts w:cs="Wingdings"/>
    </w:rPr>
  </w:style>
  <w:style w:type="character" w:styleId="ListLabel538">
    <w:name w:val="ListLabel 538"/>
    <w:qFormat/>
    <w:rPr>
      <w:rFonts w:ascii="Arial" w:hAnsi="Arial" w:cs="Symbol"/>
    </w:rPr>
  </w:style>
  <w:style w:type="character" w:styleId="ListLabel539">
    <w:name w:val="ListLabel 539"/>
    <w:qFormat/>
    <w:rPr>
      <w:rFonts w:cs="Courier New"/>
    </w:rPr>
  </w:style>
  <w:style w:type="character" w:styleId="ListLabel540">
    <w:name w:val="ListLabel 540"/>
    <w:qFormat/>
    <w:rPr>
      <w:rFonts w:cs="Wingdings"/>
    </w:rPr>
  </w:style>
  <w:style w:type="character" w:styleId="ListLabel541">
    <w:name w:val="ListLabel 541"/>
    <w:qFormat/>
    <w:rPr>
      <w:rFonts w:cs="Symbol"/>
    </w:rPr>
  </w:style>
  <w:style w:type="character" w:styleId="ListLabel542">
    <w:name w:val="ListLabel 542"/>
    <w:qFormat/>
    <w:rPr>
      <w:rFonts w:cs="Courier New"/>
    </w:rPr>
  </w:style>
  <w:style w:type="character" w:styleId="ListLabel543">
    <w:name w:val="ListLabel 543"/>
    <w:qFormat/>
    <w:rPr>
      <w:rFonts w:cs="Wingdings"/>
    </w:rPr>
  </w:style>
  <w:style w:type="character" w:styleId="ListLabel544">
    <w:name w:val="ListLabel 544"/>
    <w:qFormat/>
    <w:rPr>
      <w:rFonts w:cs="Symbol"/>
    </w:rPr>
  </w:style>
  <w:style w:type="character" w:styleId="ListLabel545">
    <w:name w:val="ListLabel 545"/>
    <w:qFormat/>
    <w:rPr>
      <w:rFonts w:cs="Courier New"/>
    </w:rPr>
  </w:style>
  <w:style w:type="character" w:styleId="ListLabel546">
    <w:name w:val="ListLabel 546"/>
    <w:qFormat/>
    <w:rPr>
      <w:rFonts w:cs="Wingdings"/>
    </w:rPr>
  </w:style>
  <w:style w:type="character" w:styleId="ListLabel547">
    <w:name w:val="ListLabel 547"/>
    <w:qFormat/>
    <w:rPr>
      <w:rFonts w:ascii="Arial" w:hAnsi="Arial" w:cs="Symbol"/>
    </w:rPr>
  </w:style>
  <w:style w:type="character" w:styleId="ListLabel548">
    <w:name w:val="ListLabel 548"/>
    <w:qFormat/>
    <w:rPr>
      <w:rFonts w:cs="Wingdings"/>
    </w:rPr>
  </w:style>
  <w:style w:type="character" w:styleId="ListLabel549">
    <w:name w:val="ListLabel 549"/>
    <w:qFormat/>
    <w:rPr>
      <w:rFonts w:cs="Symbol"/>
    </w:rPr>
  </w:style>
  <w:style w:type="character" w:styleId="ListLabel550">
    <w:name w:val="ListLabel 550"/>
    <w:qFormat/>
    <w:rPr>
      <w:rFonts w:cs="Courier New"/>
    </w:rPr>
  </w:style>
  <w:style w:type="character" w:styleId="ListLabel551">
    <w:name w:val="ListLabel 551"/>
    <w:qFormat/>
    <w:rPr>
      <w:rFonts w:cs="Wingdings"/>
    </w:rPr>
  </w:style>
  <w:style w:type="character" w:styleId="ListLabel552">
    <w:name w:val="ListLabel 552"/>
    <w:qFormat/>
    <w:rPr>
      <w:rFonts w:cs="Symbol"/>
    </w:rPr>
  </w:style>
  <w:style w:type="character" w:styleId="ListLabel553">
    <w:name w:val="ListLabel 553"/>
    <w:qFormat/>
    <w:rPr>
      <w:rFonts w:cs="Courier New"/>
    </w:rPr>
  </w:style>
  <w:style w:type="character" w:styleId="ListLabel554">
    <w:name w:val="ListLabel 554"/>
    <w:qFormat/>
    <w:rPr>
      <w:rFonts w:cs="Wingdings"/>
    </w:rPr>
  </w:style>
  <w:style w:type="character" w:styleId="ListLabel555">
    <w:name w:val="ListLabel 555"/>
    <w:qFormat/>
    <w:rPr>
      <w:rFonts w:ascii="Arial" w:hAnsi="Arial" w:cs="Symbol"/>
    </w:rPr>
  </w:style>
  <w:style w:type="character" w:styleId="ListLabel556">
    <w:name w:val="ListLabel 556"/>
    <w:qFormat/>
    <w:rPr>
      <w:rFonts w:cs="Courier New"/>
    </w:rPr>
  </w:style>
  <w:style w:type="character" w:styleId="ListLabel557">
    <w:name w:val="ListLabel 557"/>
    <w:qFormat/>
    <w:rPr>
      <w:rFonts w:cs="Wingdings"/>
    </w:rPr>
  </w:style>
  <w:style w:type="character" w:styleId="ListLabel558">
    <w:name w:val="ListLabel 558"/>
    <w:qFormat/>
    <w:rPr>
      <w:rFonts w:cs="Symbol"/>
    </w:rPr>
  </w:style>
  <w:style w:type="character" w:styleId="ListLabel559">
    <w:name w:val="ListLabel 559"/>
    <w:qFormat/>
    <w:rPr>
      <w:rFonts w:cs="Courier New"/>
    </w:rPr>
  </w:style>
  <w:style w:type="character" w:styleId="ListLabel560">
    <w:name w:val="ListLabel 560"/>
    <w:qFormat/>
    <w:rPr>
      <w:rFonts w:cs="Wingdings"/>
    </w:rPr>
  </w:style>
  <w:style w:type="character" w:styleId="ListLabel561">
    <w:name w:val="ListLabel 561"/>
    <w:qFormat/>
    <w:rPr>
      <w:rFonts w:cs="Symbol"/>
    </w:rPr>
  </w:style>
  <w:style w:type="character" w:styleId="ListLabel562">
    <w:name w:val="ListLabel 562"/>
    <w:qFormat/>
    <w:rPr>
      <w:rFonts w:cs="Courier New"/>
    </w:rPr>
  </w:style>
  <w:style w:type="character" w:styleId="ListLabel563">
    <w:name w:val="ListLabel 563"/>
    <w:qFormat/>
    <w:rPr>
      <w:rFonts w:cs="Wingdings"/>
    </w:rPr>
  </w:style>
  <w:style w:type="character" w:styleId="ListLabel564">
    <w:name w:val="ListLabel 564"/>
    <w:qFormat/>
    <w:rPr>
      <w:rFonts w:ascii="Arial" w:hAnsi="Arial" w:cs="Symbol"/>
    </w:rPr>
  </w:style>
  <w:style w:type="character" w:styleId="ListLabel565">
    <w:name w:val="ListLabel 565"/>
    <w:qFormat/>
    <w:rPr>
      <w:rFonts w:cs="Courier New"/>
    </w:rPr>
  </w:style>
  <w:style w:type="character" w:styleId="ListLabel566">
    <w:name w:val="ListLabel 566"/>
    <w:qFormat/>
    <w:rPr>
      <w:rFonts w:cs="Wingdings"/>
    </w:rPr>
  </w:style>
  <w:style w:type="character" w:styleId="ListLabel567">
    <w:name w:val="ListLabel 567"/>
    <w:qFormat/>
    <w:rPr>
      <w:rFonts w:cs="Symbol"/>
    </w:rPr>
  </w:style>
  <w:style w:type="character" w:styleId="ListLabel568">
    <w:name w:val="ListLabel 568"/>
    <w:qFormat/>
    <w:rPr>
      <w:rFonts w:cs="Courier New"/>
    </w:rPr>
  </w:style>
  <w:style w:type="character" w:styleId="ListLabel569">
    <w:name w:val="ListLabel 569"/>
    <w:qFormat/>
    <w:rPr>
      <w:rFonts w:cs="Wingdings"/>
    </w:rPr>
  </w:style>
  <w:style w:type="character" w:styleId="ListLabel570">
    <w:name w:val="ListLabel 570"/>
    <w:qFormat/>
    <w:rPr>
      <w:rFonts w:cs="Symbol"/>
    </w:rPr>
  </w:style>
  <w:style w:type="character" w:styleId="ListLabel571">
    <w:name w:val="ListLabel 571"/>
    <w:qFormat/>
    <w:rPr>
      <w:rFonts w:cs="Courier New"/>
    </w:rPr>
  </w:style>
  <w:style w:type="character" w:styleId="ListLabel572">
    <w:name w:val="ListLabel 572"/>
    <w:qFormat/>
    <w:rPr>
      <w:rFonts w:cs="Wingdings"/>
    </w:rPr>
  </w:style>
  <w:style w:type="character" w:styleId="ListLabel573">
    <w:name w:val="ListLabel 573"/>
    <w:qFormat/>
    <w:rPr>
      <w:rFonts w:ascii="Arial" w:hAnsi="Arial"/>
      <w:sz w:val="24"/>
      <w:szCs w:val="24"/>
    </w:rPr>
  </w:style>
  <w:style w:type="character" w:styleId="ListLabel574">
    <w:name w:val="ListLabel 574"/>
    <w:qFormat/>
    <w:rPr>
      <w:rFonts w:ascii="Arial" w:hAnsi="Arial" w:cs="Symbol"/>
    </w:rPr>
  </w:style>
  <w:style w:type="character" w:styleId="ListLabel575">
    <w:name w:val="ListLabel 575"/>
    <w:qFormat/>
    <w:rPr>
      <w:rFonts w:cs="Courier New"/>
    </w:rPr>
  </w:style>
  <w:style w:type="character" w:styleId="ListLabel576">
    <w:name w:val="ListLabel 576"/>
    <w:qFormat/>
    <w:rPr>
      <w:rFonts w:cs="Wingdings"/>
    </w:rPr>
  </w:style>
  <w:style w:type="character" w:styleId="ListLabel577">
    <w:name w:val="ListLabel 577"/>
    <w:qFormat/>
    <w:rPr>
      <w:rFonts w:cs="Symbol"/>
    </w:rPr>
  </w:style>
  <w:style w:type="character" w:styleId="ListLabel578">
    <w:name w:val="ListLabel 578"/>
    <w:qFormat/>
    <w:rPr>
      <w:rFonts w:cs="Courier New"/>
    </w:rPr>
  </w:style>
  <w:style w:type="character" w:styleId="ListLabel579">
    <w:name w:val="ListLabel 579"/>
    <w:qFormat/>
    <w:rPr>
      <w:rFonts w:cs="Wingdings"/>
    </w:rPr>
  </w:style>
  <w:style w:type="character" w:styleId="ListLabel580">
    <w:name w:val="ListLabel 580"/>
    <w:qFormat/>
    <w:rPr>
      <w:rFonts w:cs="Symbol"/>
    </w:rPr>
  </w:style>
  <w:style w:type="character" w:styleId="ListLabel581">
    <w:name w:val="ListLabel 581"/>
    <w:qFormat/>
    <w:rPr>
      <w:rFonts w:cs="Courier New"/>
    </w:rPr>
  </w:style>
  <w:style w:type="character" w:styleId="ListLabel582">
    <w:name w:val="ListLabel 582"/>
    <w:qFormat/>
    <w:rPr>
      <w:rFonts w:cs="Wingdings"/>
    </w:rPr>
  </w:style>
  <w:style w:type="character" w:styleId="ListLabel583">
    <w:name w:val="ListLabel 583"/>
    <w:qFormat/>
    <w:rPr>
      <w:rFonts w:ascii="Arial" w:hAnsi="Arial" w:cs="Symbol"/>
    </w:rPr>
  </w:style>
  <w:style w:type="character" w:styleId="ListLabel584">
    <w:name w:val="ListLabel 584"/>
    <w:qFormat/>
    <w:rPr>
      <w:rFonts w:ascii="Arial" w:hAnsi="Arial" w:cs="Symbol"/>
    </w:rPr>
  </w:style>
  <w:style w:type="character" w:styleId="ListLabel585">
    <w:name w:val="ListLabel 585"/>
    <w:qFormat/>
    <w:rPr>
      <w:rFonts w:ascii="Arial" w:hAnsi="Arial" w:cs="Symbol"/>
    </w:rPr>
  </w:style>
  <w:style w:type="character" w:styleId="ListLabel586">
    <w:name w:val="ListLabel 586"/>
    <w:qFormat/>
    <w:rPr>
      <w:rFonts w:ascii="Arial" w:hAnsi="Arial" w:cs="Symbol"/>
    </w:rPr>
  </w:style>
  <w:style w:type="character" w:styleId="ListLabel587">
    <w:name w:val="ListLabel 587"/>
    <w:qFormat/>
    <w:rPr>
      <w:rFonts w:ascii="Arial" w:hAnsi="Arial" w:cs="Symbol"/>
    </w:rPr>
  </w:style>
  <w:style w:type="character" w:styleId="ListLabel588">
    <w:name w:val="ListLabel 588"/>
    <w:qFormat/>
    <w:rPr>
      <w:rFonts w:ascii="Arial" w:hAnsi="Arial" w:cs="Symbol"/>
    </w:rPr>
  </w:style>
  <w:style w:type="character" w:styleId="ListLabel589">
    <w:name w:val="ListLabel 589"/>
    <w:qFormat/>
    <w:rPr>
      <w:rFonts w:ascii="Arial" w:hAnsi="Arial" w:cs="Symbol"/>
    </w:rPr>
  </w:style>
  <w:style w:type="character" w:styleId="ListLabel590">
    <w:name w:val="ListLabel 590"/>
    <w:qFormat/>
    <w:rPr>
      <w:rFonts w:ascii="Arial" w:hAnsi="Arial" w:cs="Symbol"/>
    </w:rPr>
  </w:style>
  <w:style w:type="character" w:styleId="ListLabel591">
    <w:name w:val="ListLabel 591"/>
    <w:qFormat/>
    <w:rPr>
      <w:rFonts w:cs="Courier New"/>
    </w:rPr>
  </w:style>
  <w:style w:type="character" w:styleId="ListLabel592">
    <w:name w:val="ListLabel 592"/>
    <w:qFormat/>
    <w:rPr>
      <w:rFonts w:cs="Wingdings"/>
    </w:rPr>
  </w:style>
  <w:style w:type="character" w:styleId="ListLabel593">
    <w:name w:val="ListLabel 593"/>
    <w:qFormat/>
    <w:rPr>
      <w:rFonts w:cs="Symbol"/>
    </w:rPr>
  </w:style>
  <w:style w:type="character" w:styleId="ListLabel594">
    <w:name w:val="ListLabel 594"/>
    <w:qFormat/>
    <w:rPr>
      <w:rFonts w:cs="Courier New"/>
    </w:rPr>
  </w:style>
  <w:style w:type="character" w:styleId="ListLabel595">
    <w:name w:val="ListLabel 595"/>
    <w:qFormat/>
    <w:rPr>
      <w:rFonts w:cs="Wingdings"/>
    </w:rPr>
  </w:style>
  <w:style w:type="character" w:styleId="ListLabel596">
    <w:name w:val="ListLabel 596"/>
    <w:qFormat/>
    <w:rPr>
      <w:rFonts w:cs="Symbol"/>
    </w:rPr>
  </w:style>
  <w:style w:type="character" w:styleId="ListLabel597">
    <w:name w:val="ListLabel 597"/>
    <w:qFormat/>
    <w:rPr>
      <w:rFonts w:cs="Courier New"/>
    </w:rPr>
  </w:style>
  <w:style w:type="character" w:styleId="ListLabel598">
    <w:name w:val="ListLabel 598"/>
    <w:qFormat/>
    <w:rPr>
      <w:rFonts w:cs="Wingdings"/>
    </w:rPr>
  </w:style>
  <w:style w:type="character" w:styleId="ListLabel599">
    <w:name w:val="ListLabel 599"/>
    <w:qFormat/>
    <w:rPr>
      <w:rFonts w:ascii="Arial" w:hAnsi="Arial" w:cs="Symbol"/>
    </w:rPr>
  </w:style>
  <w:style w:type="character" w:styleId="ListLabel600">
    <w:name w:val="ListLabel 600"/>
    <w:qFormat/>
    <w:rPr>
      <w:rFonts w:cs="Courier New"/>
    </w:rPr>
  </w:style>
  <w:style w:type="character" w:styleId="ListLabel601">
    <w:name w:val="ListLabel 601"/>
    <w:qFormat/>
    <w:rPr>
      <w:rFonts w:cs="Wingdings"/>
    </w:rPr>
  </w:style>
  <w:style w:type="character" w:styleId="ListLabel602">
    <w:name w:val="ListLabel 602"/>
    <w:qFormat/>
    <w:rPr>
      <w:rFonts w:cs="Symbol"/>
    </w:rPr>
  </w:style>
  <w:style w:type="character" w:styleId="ListLabel603">
    <w:name w:val="ListLabel 603"/>
    <w:qFormat/>
    <w:rPr>
      <w:rFonts w:cs="Courier New"/>
    </w:rPr>
  </w:style>
  <w:style w:type="character" w:styleId="ListLabel604">
    <w:name w:val="ListLabel 604"/>
    <w:qFormat/>
    <w:rPr>
      <w:rFonts w:cs="Wingdings"/>
    </w:rPr>
  </w:style>
  <w:style w:type="character" w:styleId="ListLabel605">
    <w:name w:val="ListLabel 605"/>
    <w:qFormat/>
    <w:rPr>
      <w:rFonts w:cs="Symbol"/>
    </w:rPr>
  </w:style>
  <w:style w:type="character" w:styleId="ListLabel606">
    <w:name w:val="ListLabel 606"/>
    <w:qFormat/>
    <w:rPr>
      <w:rFonts w:cs="Courier New"/>
    </w:rPr>
  </w:style>
  <w:style w:type="character" w:styleId="ListLabel607">
    <w:name w:val="ListLabel 607"/>
    <w:qFormat/>
    <w:rPr>
      <w:rFonts w:cs="Wingdings"/>
    </w:rPr>
  </w:style>
  <w:style w:type="character" w:styleId="ListLabel608">
    <w:name w:val="ListLabel 608"/>
    <w:qFormat/>
    <w:rPr>
      <w:rFonts w:ascii="Arial" w:hAnsi="Arial" w:cs="Symbol"/>
    </w:rPr>
  </w:style>
  <w:style w:type="character" w:styleId="ListLabel609">
    <w:name w:val="ListLabel 609"/>
    <w:qFormat/>
    <w:rPr>
      <w:rFonts w:cs="Courier New"/>
    </w:rPr>
  </w:style>
  <w:style w:type="character" w:styleId="ListLabel610">
    <w:name w:val="ListLabel 610"/>
    <w:qFormat/>
    <w:rPr>
      <w:rFonts w:cs="Wingdings"/>
    </w:rPr>
  </w:style>
  <w:style w:type="character" w:styleId="ListLabel611">
    <w:name w:val="ListLabel 611"/>
    <w:qFormat/>
    <w:rPr>
      <w:rFonts w:cs="Symbol"/>
    </w:rPr>
  </w:style>
  <w:style w:type="character" w:styleId="ListLabel612">
    <w:name w:val="ListLabel 612"/>
    <w:qFormat/>
    <w:rPr>
      <w:rFonts w:cs="Courier New"/>
    </w:rPr>
  </w:style>
  <w:style w:type="character" w:styleId="ListLabel613">
    <w:name w:val="ListLabel 613"/>
    <w:qFormat/>
    <w:rPr>
      <w:rFonts w:cs="Wingdings"/>
    </w:rPr>
  </w:style>
  <w:style w:type="character" w:styleId="ListLabel614">
    <w:name w:val="ListLabel 614"/>
    <w:qFormat/>
    <w:rPr>
      <w:rFonts w:cs="Symbol"/>
    </w:rPr>
  </w:style>
  <w:style w:type="character" w:styleId="ListLabel615">
    <w:name w:val="ListLabel 615"/>
    <w:qFormat/>
    <w:rPr>
      <w:rFonts w:cs="Courier New"/>
    </w:rPr>
  </w:style>
  <w:style w:type="character" w:styleId="ListLabel616">
    <w:name w:val="ListLabel 616"/>
    <w:qFormat/>
    <w:rPr>
      <w:rFonts w:cs="Wingdings"/>
    </w:rPr>
  </w:style>
  <w:style w:type="character" w:styleId="ListLabel617">
    <w:name w:val="ListLabel 617"/>
    <w:qFormat/>
    <w:rPr>
      <w:rFonts w:ascii="Arial" w:hAnsi="Arial" w:cs="Symbol"/>
    </w:rPr>
  </w:style>
  <w:style w:type="character" w:styleId="ListLabel618">
    <w:name w:val="ListLabel 618"/>
    <w:qFormat/>
    <w:rPr>
      <w:rFonts w:cs="Courier New"/>
    </w:rPr>
  </w:style>
  <w:style w:type="character" w:styleId="ListLabel619">
    <w:name w:val="ListLabel 619"/>
    <w:qFormat/>
    <w:rPr>
      <w:rFonts w:cs="Wingdings"/>
    </w:rPr>
  </w:style>
  <w:style w:type="character" w:styleId="ListLabel620">
    <w:name w:val="ListLabel 620"/>
    <w:qFormat/>
    <w:rPr>
      <w:rFonts w:cs="Symbol"/>
    </w:rPr>
  </w:style>
  <w:style w:type="character" w:styleId="ListLabel621">
    <w:name w:val="ListLabel 621"/>
    <w:qFormat/>
    <w:rPr>
      <w:rFonts w:cs="Courier New"/>
    </w:rPr>
  </w:style>
  <w:style w:type="character" w:styleId="ListLabel622">
    <w:name w:val="ListLabel 622"/>
    <w:qFormat/>
    <w:rPr>
      <w:rFonts w:cs="Wingdings"/>
    </w:rPr>
  </w:style>
  <w:style w:type="character" w:styleId="ListLabel623">
    <w:name w:val="ListLabel 623"/>
    <w:qFormat/>
    <w:rPr>
      <w:rFonts w:cs="Symbol"/>
    </w:rPr>
  </w:style>
  <w:style w:type="character" w:styleId="ListLabel624">
    <w:name w:val="ListLabel 624"/>
    <w:qFormat/>
    <w:rPr>
      <w:rFonts w:cs="Courier New"/>
    </w:rPr>
  </w:style>
  <w:style w:type="character" w:styleId="ListLabel625">
    <w:name w:val="ListLabel 625"/>
    <w:qFormat/>
    <w:rPr>
      <w:rFonts w:cs="Wingdings"/>
    </w:rPr>
  </w:style>
  <w:style w:type="character" w:styleId="ListLabel626">
    <w:name w:val="ListLabel 626"/>
    <w:qFormat/>
    <w:rPr>
      <w:rFonts w:ascii="Arial" w:hAnsi="Arial" w:cs="Symbol"/>
    </w:rPr>
  </w:style>
  <w:style w:type="character" w:styleId="ListLabel627">
    <w:name w:val="ListLabel 627"/>
    <w:qFormat/>
    <w:rPr>
      <w:rFonts w:cs="Courier New"/>
    </w:rPr>
  </w:style>
  <w:style w:type="character" w:styleId="ListLabel628">
    <w:name w:val="ListLabel 628"/>
    <w:qFormat/>
    <w:rPr>
      <w:rFonts w:cs="Wingdings"/>
    </w:rPr>
  </w:style>
  <w:style w:type="character" w:styleId="ListLabel629">
    <w:name w:val="ListLabel 629"/>
    <w:qFormat/>
    <w:rPr>
      <w:rFonts w:cs="Symbol"/>
    </w:rPr>
  </w:style>
  <w:style w:type="character" w:styleId="ListLabel630">
    <w:name w:val="ListLabel 630"/>
    <w:qFormat/>
    <w:rPr>
      <w:rFonts w:cs="Courier New"/>
    </w:rPr>
  </w:style>
  <w:style w:type="character" w:styleId="ListLabel631">
    <w:name w:val="ListLabel 631"/>
    <w:qFormat/>
    <w:rPr>
      <w:rFonts w:cs="Wingdings"/>
    </w:rPr>
  </w:style>
  <w:style w:type="character" w:styleId="ListLabel632">
    <w:name w:val="ListLabel 632"/>
    <w:qFormat/>
    <w:rPr>
      <w:rFonts w:cs="Symbol"/>
    </w:rPr>
  </w:style>
  <w:style w:type="character" w:styleId="ListLabel633">
    <w:name w:val="ListLabel 633"/>
    <w:qFormat/>
    <w:rPr>
      <w:rFonts w:cs="Courier New"/>
    </w:rPr>
  </w:style>
  <w:style w:type="character" w:styleId="ListLabel634">
    <w:name w:val="ListLabel 634"/>
    <w:qFormat/>
    <w:rPr>
      <w:rFonts w:cs="Wingdings"/>
    </w:rPr>
  </w:style>
  <w:style w:type="character" w:styleId="ListLabel635">
    <w:name w:val="ListLabel 635"/>
    <w:qFormat/>
    <w:rPr>
      <w:rFonts w:ascii="Arial" w:hAnsi="Arial" w:cs="Symbol"/>
    </w:rPr>
  </w:style>
  <w:style w:type="character" w:styleId="ListLabel636">
    <w:name w:val="ListLabel 636"/>
    <w:qFormat/>
    <w:rPr>
      <w:rFonts w:cs="Courier New"/>
    </w:rPr>
  </w:style>
  <w:style w:type="character" w:styleId="ListLabel637">
    <w:name w:val="ListLabel 637"/>
    <w:qFormat/>
    <w:rPr>
      <w:rFonts w:cs="Wingdings"/>
    </w:rPr>
  </w:style>
  <w:style w:type="character" w:styleId="ListLabel638">
    <w:name w:val="ListLabel 638"/>
    <w:qFormat/>
    <w:rPr>
      <w:rFonts w:cs="Symbol"/>
    </w:rPr>
  </w:style>
  <w:style w:type="character" w:styleId="ListLabel639">
    <w:name w:val="ListLabel 639"/>
    <w:qFormat/>
    <w:rPr>
      <w:rFonts w:cs="Courier New"/>
    </w:rPr>
  </w:style>
  <w:style w:type="character" w:styleId="ListLabel640">
    <w:name w:val="ListLabel 640"/>
    <w:qFormat/>
    <w:rPr>
      <w:rFonts w:cs="Wingdings"/>
    </w:rPr>
  </w:style>
  <w:style w:type="character" w:styleId="ListLabel641">
    <w:name w:val="ListLabel 641"/>
    <w:qFormat/>
    <w:rPr>
      <w:rFonts w:cs="Symbol"/>
    </w:rPr>
  </w:style>
  <w:style w:type="character" w:styleId="ListLabel642">
    <w:name w:val="ListLabel 642"/>
    <w:qFormat/>
    <w:rPr>
      <w:rFonts w:cs="Courier New"/>
    </w:rPr>
  </w:style>
  <w:style w:type="character" w:styleId="ListLabel643">
    <w:name w:val="ListLabel 643"/>
    <w:qFormat/>
    <w:rPr>
      <w:rFonts w:cs="Wingdings"/>
    </w:rPr>
  </w:style>
  <w:style w:type="character" w:styleId="ListLabel644">
    <w:name w:val="ListLabel 644"/>
    <w:qFormat/>
    <w:rPr>
      <w:rFonts w:ascii="Arial" w:hAnsi="Arial" w:cs="Symbol"/>
      <w:b/>
    </w:rPr>
  </w:style>
  <w:style w:type="character" w:styleId="ListLabel645">
    <w:name w:val="ListLabel 645"/>
    <w:qFormat/>
    <w:rPr>
      <w:rFonts w:cs="Courier New"/>
    </w:rPr>
  </w:style>
  <w:style w:type="character" w:styleId="ListLabel646">
    <w:name w:val="ListLabel 646"/>
    <w:qFormat/>
    <w:rPr>
      <w:rFonts w:cs="Wingdings"/>
    </w:rPr>
  </w:style>
  <w:style w:type="character" w:styleId="ListLabel647">
    <w:name w:val="ListLabel 647"/>
    <w:qFormat/>
    <w:rPr>
      <w:rFonts w:cs="Symbol"/>
    </w:rPr>
  </w:style>
  <w:style w:type="character" w:styleId="ListLabel648">
    <w:name w:val="ListLabel 648"/>
    <w:qFormat/>
    <w:rPr>
      <w:rFonts w:cs="Courier New"/>
    </w:rPr>
  </w:style>
  <w:style w:type="character" w:styleId="ListLabel649">
    <w:name w:val="ListLabel 649"/>
    <w:qFormat/>
    <w:rPr>
      <w:rFonts w:cs="Wingdings"/>
    </w:rPr>
  </w:style>
  <w:style w:type="character" w:styleId="ListLabel650">
    <w:name w:val="ListLabel 650"/>
    <w:qFormat/>
    <w:rPr>
      <w:rFonts w:cs="Symbol"/>
    </w:rPr>
  </w:style>
  <w:style w:type="character" w:styleId="ListLabel651">
    <w:name w:val="ListLabel 651"/>
    <w:qFormat/>
    <w:rPr>
      <w:rFonts w:cs="Courier New"/>
    </w:rPr>
  </w:style>
  <w:style w:type="character" w:styleId="ListLabel652">
    <w:name w:val="ListLabel 652"/>
    <w:qFormat/>
    <w:rPr>
      <w:rFonts w:cs="Wingdings"/>
    </w:rPr>
  </w:style>
  <w:style w:type="character" w:styleId="ListLabel653">
    <w:name w:val="ListLabel 653"/>
    <w:qFormat/>
    <w:rPr>
      <w:rFonts w:ascii="Arial" w:hAnsi="Arial" w:cs="Symbol"/>
    </w:rPr>
  </w:style>
  <w:style w:type="character" w:styleId="ListLabel654">
    <w:name w:val="ListLabel 654"/>
    <w:qFormat/>
    <w:rPr>
      <w:rFonts w:cs="Courier New"/>
    </w:rPr>
  </w:style>
  <w:style w:type="character" w:styleId="ListLabel655">
    <w:name w:val="ListLabel 655"/>
    <w:qFormat/>
    <w:rPr>
      <w:rFonts w:cs="Wingdings"/>
    </w:rPr>
  </w:style>
  <w:style w:type="character" w:styleId="ListLabel656">
    <w:name w:val="ListLabel 656"/>
    <w:qFormat/>
    <w:rPr>
      <w:rFonts w:cs="Symbol"/>
    </w:rPr>
  </w:style>
  <w:style w:type="character" w:styleId="ListLabel657">
    <w:name w:val="ListLabel 657"/>
    <w:qFormat/>
    <w:rPr>
      <w:rFonts w:cs="Courier New"/>
    </w:rPr>
  </w:style>
  <w:style w:type="character" w:styleId="ListLabel658">
    <w:name w:val="ListLabel 658"/>
    <w:qFormat/>
    <w:rPr>
      <w:rFonts w:cs="Wingdings"/>
    </w:rPr>
  </w:style>
  <w:style w:type="character" w:styleId="ListLabel659">
    <w:name w:val="ListLabel 659"/>
    <w:qFormat/>
    <w:rPr>
      <w:rFonts w:cs="Symbol"/>
    </w:rPr>
  </w:style>
  <w:style w:type="character" w:styleId="ListLabel660">
    <w:name w:val="ListLabel 660"/>
    <w:qFormat/>
    <w:rPr>
      <w:rFonts w:cs="Courier New"/>
    </w:rPr>
  </w:style>
  <w:style w:type="character" w:styleId="ListLabel661">
    <w:name w:val="ListLabel 661"/>
    <w:qFormat/>
    <w:rPr>
      <w:rFonts w:cs="Wingdings"/>
    </w:rPr>
  </w:style>
  <w:style w:type="character" w:styleId="ListLabel662">
    <w:name w:val="ListLabel 662"/>
    <w:qFormat/>
    <w:rPr>
      <w:rFonts w:ascii="Arial" w:hAnsi="Arial" w:cs="Arial"/>
    </w:rPr>
  </w:style>
  <w:style w:type="character" w:styleId="ListLabel663">
    <w:name w:val="ListLabel 663"/>
    <w:qFormat/>
    <w:rPr>
      <w:rFonts w:ascii="Arial" w:hAnsi="Arial" w:cs="Arial"/>
    </w:rPr>
  </w:style>
  <w:style w:type="character" w:styleId="ListLabel664">
    <w:name w:val="ListLabel 664"/>
    <w:qFormat/>
    <w:rPr>
      <w:rFonts w:ascii="Arial" w:hAnsi="Arial" w:cs="Symbol"/>
    </w:rPr>
  </w:style>
  <w:style w:type="character" w:styleId="ListLabel665">
    <w:name w:val="ListLabel 665"/>
    <w:qFormat/>
    <w:rPr>
      <w:rFonts w:cs="Courier New"/>
    </w:rPr>
  </w:style>
  <w:style w:type="character" w:styleId="ListLabel666">
    <w:name w:val="ListLabel 666"/>
    <w:qFormat/>
    <w:rPr>
      <w:rFonts w:cs="Wingdings"/>
    </w:rPr>
  </w:style>
  <w:style w:type="character" w:styleId="ListLabel667">
    <w:name w:val="ListLabel 667"/>
    <w:qFormat/>
    <w:rPr>
      <w:rFonts w:cs="Symbol"/>
    </w:rPr>
  </w:style>
  <w:style w:type="character" w:styleId="ListLabel668">
    <w:name w:val="ListLabel 668"/>
    <w:qFormat/>
    <w:rPr>
      <w:rFonts w:cs="Courier New"/>
    </w:rPr>
  </w:style>
  <w:style w:type="character" w:styleId="ListLabel669">
    <w:name w:val="ListLabel 669"/>
    <w:qFormat/>
    <w:rPr>
      <w:rFonts w:cs="Wingdings"/>
    </w:rPr>
  </w:style>
  <w:style w:type="character" w:styleId="ListLabel670">
    <w:name w:val="ListLabel 670"/>
    <w:qFormat/>
    <w:rPr>
      <w:rFonts w:cs="Symbol"/>
    </w:rPr>
  </w:style>
  <w:style w:type="character" w:styleId="ListLabel671">
    <w:name w:val="ListLabel 671"/>
    <w:qFormat/>
    <w:rPr>
      <w:rFonts w:cs="Courier New"/>
    </w:rPr>
  </w:style>
  <w:style w:type="character" w:styleId="ListLabel672">
    <w:name w:val="ListLabel 672"/>
    <w:qFormat/>
    <w:rPr>
      <w:rFonts w:cs="Wingdings"/>
    </w:rPr>
  </w:style>
  <w:style w:type="character" w:styleId="ListLabel673">
    <w:name w:val="ListLabel 673"/>
    <w:qFormat/>
    <w:rPr>
      <w:rFonts w:ascii="Arial" w:hAnsi="Arial" w:cs="Wingdings"/>
    </w:rPr>
  </w:style>
  <w:style w:type="character" w:styleId="ListLabel674">
    <w:name w:val="ListLabel 674"/>
    <w:qFormat/>
    <w:rPr>
      <w:rFonts w:cs="Courier New"/>
    </w:rPr>
  </w:style>
  <w:style w:type="character" w:styleId="ListLabel675">
    <w:name w:val="ListLabel 675"/>
    <w:qFormat/>
    <w:rPr>
      <w:rFonts w:cs="Wingdings"/>
    </w:rPr>
  </w:style>
  <w:style w:type="character" w:styleId="ListLabel676">
    <w:name w:val="ListLabel 676"/>
    <w:qFormat/>
    <w:rPr>
      <w:rFonts w:cs="Symbol"/>
    </w:rPr>
  </w:style>
  <w:style w:type="character" w:styleId="ListLabel677">
    <w:name w:val="ListLabel 677"/>
    <w:qFormat/>
    <w:rPr>
      <w:rFonts w:cs="Courier New"/>
    </w:rPr>
  </w:style>
  <w:style w:type="character" w:styleId="ListLabel678">
    <w:name w:val="ListLabel 678"/>
    <w:qFormat/>
    <w:rPr>
      <w:rFonts w:cs="Wingdings"/>
    </w:rPr>
  </w:style>
  <w:style w:type="character" w:styleId="ListLabel679">
    <w:name w:val="ListLabel 679"/>
    <w:qFormat/>
    <w:rPr>
      <w:rFonts w:cs="Symbol"/>
    </w:rPr>
  </w:style>
  <w:style w:type="character" w:styleId="ListLabel680">
    <w:name w:val="ListLabel 680"/>
    <w:qFormat/>
    <w:rPr>
      <w:rFonts w:cs="Courier New"/>
    </w:rPr>
  </w:style>
  <w:style w:type="character" w:styleId="ListLabel681">
    <w:name w:val="ListLabel 681"/>
    <w:qFormat/>
    <w:rPr>
      <w:rFonts w:cs="Wingdings"/>
    </w:rPr>
  </w:style>
  <w:style w:type="character" w:styleId="ListLabel682">
    <w:name w:val="ListLabel 682"/>
    <w:qFormat/>
    <w:rPr>
      <w:rFonts w:ascii="Arial" w:hAnsi="Arial" w:cs="Symbol"/>
    </w:rPr>
  </w:style>
  <w:style w:type="character" w:styleId="ListLabel683">
    <w:name w:val="ListLabel 683"/>
    <w:qFormat/>
    <w:rPr>
      <w:rFonts w:cs="Arial"/>
    </w:rPr>
  </w:style>
  <w:style w:type="character" w:styleId="ListLabel684">
    <w:name w:val="ListLabel 684"/>
    <w:qFormat/>
    <w:rPr>
      <w:rFonts w:cs="Wingdings"/>
    </w:rPr>
  </w:style>
  <w:style w:type="character" w:styleId="ListLabel685">
    <w:name w:val="ListLabel 685"/>
    <w:qFormat/>
    <w:rPr>
      <w:rFonts w:cs="Symbol"/>
    </w:rPr>
  </w:style>
  <w:style w:type="character" w:styleId="ListLabel686">
    <w:name w:val="ListLabel 686"/>
    <w:qFormat/>
    <w:rPr>
      <w:rFonts w:cs="Courier New"/>
    </w:rPr>
  </w:style>
  <w:style w:type="character" w:styleId="ListLabel687">
    <w:name w:val="ListLabel 687"/>
    <w:qFormat/>
    <w:rPr>
      <w:rFonts w:cs="Wingdings"/>
    </w:rPr>
  </w:style>
  <w:style w:type="character" w:styleId="ListLabel688">
    <w:name w:val="ListLabel 688"/>
    <w:qFormat/>
    <w:rPr>
      <w:rFonts w:cs="Symbol"/>
    </w:rPr>
  </w:style>
  <w:style w:type="character" w:styleId="ListLabel689">
    <w:name w:val="ListLabel 689"/>
    <w:qFormat/>
    <w:rPr>
      <w:rFonts w:cs="Courier New"/>
    </w:rPr>
  </w:style>
  <w:style w:type="character" w:styleId="ListLabel690">
    <w:name w:val="ListLabel 690"/>
    <w:qFormat/>
    <w:rPr>
      <w:rFonts w:cs="Wingdings"/>
    </w:rPr>
  </w:style>
  <w:style w:type="character" w:styleId="ListLabel691">
    <w:name w:val="ListLabel 691"/>
    <w:qFormat/>
    <w:rPr>
      <w:rFonts w:ascii="Arial" w:hAnsi="Arial" w:cs="Wingdings"/>
    </w:rPr>
  </w:style>
  <w:style w:type="character" w:styleId="ListLabel692">
    <w:name w:val="ListLabel 692"/>
    <w:qFormat/>
    <w:rPr>
      <w:rFonts w:cs="Courier New"/>
    </w:rPr>
  </w:style>
  <w:style w:type="character" w:styleId="ListLabel693">
    <w:name w:val="ListLabel 693"/>
    <w:qFormat/>
    <w:rPr>
      <w:rFonts w:cs="Wingdings"/>
    </w:rPr>
  </w:style>
  <w:style w:type="character" w:styleId="ListLabel694">
    <w:name w:val="ListLabel 694"/>
    <w:qFormat/>
    <w:rPr>
      <w:rFonts w:cs="Symbol"/>
    </w:rPr>
  </w:style>
  <w:style w:type="character" w:styleId="ListLabel695">
    <w:name w:val="ListLabel 695"/>
    <w:qFormat/>
    <w:rPr>
      <w:rFonts w:cs="Courier New"/>
    </w:rPr>
  </w:style>
  <w:style w:type="character" w:styleId="ListLabel696">
    <w:name w:val="ListLabel 696"/>
    <w:qFormat/>
    <w:rPr>
      <w:rFonts w:cs="Wingdings"/>
    </w:rPr>
  </w:style>
  <w:style w:type="character" w:styleId="ListLabel697">
    <w:name w:val="ListLabel 697"/>
    <w:qFormat/>
    <w:rPr>
      <w:rFonts w:cs="Symbol"/>
    </w:rPr>
  </w:style>
  <w:style w:type="character" w:styleId="ListLabel698">
    <w:name w:val="ListLabel 698"/>
    <w:qFormat/>
    <w:rPr>
      <w:rFonts w:cs="Courier New"/>
    </w:rPr>
  </w:style>
  <w:style w:type="character" w:styleId="ListLabel699">
    <w:name w:val="ListLabel 699"/>
    <w:qFormat/>
    <w:rPr>
      <w:rFonts w:cs="Wingdings"/>
    </w:rPr>
  </w:style>
  <w:style w:type="character" w:styleId="ListLabel700">
    <w:name w:val="ListLabel 700"/>
    <w:qFormat/>
    <w:rPr>
      <w:rFonts w:ascii="Arial" w:hAnsi="Arial" w:cs="Arial"/>
    </w:rPr>
  </w:style>
  <w:style w:type="character" w:styleId="ListLabel701">
    <w:name w:val="ListLabel 701"/>
    <w:qFormat/>
    <w:rPr>
      <w:rFonts w:ascii="Arial" w:hAnsi="Arial" w:cs="Times New Roman"/>
    </w:rPr>
  </w:style>
  <w:style w:type="character" w:styleId="ListLabel702">
    <w:name w:val="ListLabel 702"/>
    <w:qFormat/>
    <w:rPr>
      <w:rFonts w:ascii="Arial" w:hAnsi="Arial" w:cs="Arial"/>
      <w:sz w:val="22"/>
    </w:rPr>
  </w:style>
  <w:style w:type="character" w:styleId="ListLabel703">
    <w:name w:val="ListLabel 703"/>
    <w:qFormat/>
    <w:rPr>
      <w:rFonts w:ascii="Arial" w:hAnsi="Arial" w:cs="Arial"/>
      <w:sz w:val="22"/>
    </w:rPr>
  </w:style>
  <w:style w:type="character" w:styleId="ListLabel704">
    <w:name w:val="ListLabel 704"/>
    <w:qFormat/>
    <w:rPr>
      <w:rFonts w:ascii="Arial" w:hAnsi="Arial" w:cs="Symbol"/>
    </w:rPr>
  </w:style>
  <w:style w:type="character" w:styleId="ListLabel705">
    <w:name w:val="ListLabel 705"/>
    <w:qFormat/>
    <w:rPr>
      <w:rFonts w:cs="Courier New"/>
    </w:rPr>
  </w:style>
  <w:style w:type="character" w:styleId="ListLabel706">
    <w:name w:val="ListLabel 706"/>
    <w:qFormat/>
    <w:rPr>
      <w:rFonts w:cs="Wingdings"/>
    </w:rPr>
  </w:style>
  <w:style w:type="character" w:styleId="ListLabel707">
    <w:name w:val="ListLabel 707"/>
    <w:qFormat/>
    <w:rPr>
      <w:rFonts w:cs="Symbol"/>
    </w:rPr>
  </w:style>
  <w:style w:type="character" w:styleId="ListLabel708">
    <w:name w:val="ListLabel 708"/>
    <w:qFormat/>
    <w:rPr>
      <w:rFonts w:cs="Courier New"/>
    </w:rPr>
  </w:style>
  <w:style w:type="character" w:styleId="ListLabel709">
    <w:name w:val="ListLabel 709"/>
    <w:qFormat/>
    <w:rPr>
      <w:rFonts w:cs="Wingdings"/>
    </w:rPr>
  </w:style>
  <w:style w:type="character" w:styleId="ListLabel710">
    <w:name w:val="ListLabel 710"/>
    <w:qFormat/>
    <w:rPr>
      <w:rFonts w:cs="Symbol"/>
    </w:rPr>
  </w:style>
  <w:style w:type="character" w:styleId="ListLabel711">
    <w:name w:val="ListLabel 711"/>
    <w:qFormat/>
    <w:rPr>
      <w:rFonts w:cs="Courier New"/>
    </w:rPr>
  </w:style>
  <w:style w:type="character" w:styleId="ListLabel712">
    <w:name w:val="ListLabel 712"/>
    <w:qFormat/>
    <w:rPr>
      <w:rFonts w:cs="Wingdings"/>
    </w:rPr>
  </w:style>
  <w:style w:type="character" w:styleId="ListLabel713">
    <w:name w:val="ListLabel 713"/>
    <w:qFormat/>
    <w:rPr>
      <w:rFonts w:ascii="Arial" w:hAnsi="Arial" w:cs="Symbol"/>
    </w:rPr>
  </w:style>
  <w:style w:type="character" w:styleId="ListLabel714">
    <w:name w:val="ListLabel 714"/>
    <w:qFormat/>
    <w:rPr>
      <w:rFonts w:cs="Courier New"/>
    </w:rPr>
  </w:style>
  <w:style w:type="character" w:styleId="ListLabel715">
    <w:name w:val="ListLabel 715"/>
    <w:qFormat/>
    <w:rPr>
      <w:rFonts w:cs="Wingdings"/>
    </w:rPr>
  </w:style>
  <w:style w:type="character" w:styleId="ListLabel716">
    <w:name w:val="ListLabel 716"/>
    <w:qFormat/>
    <w:rPr>
      <w:rFonts w:cs="Symbol"/>
    </w:rPr>
  </w:style>
  <w:style w:type="character" w:styleId="ListLabel717">
    <w:name w:val="ListLabel 717"/>
    <w:qFormat/>
    <w:rPr>
      <w:rFonts w:cs="Courier New"/>
    </w:rPr>
  </w:style>
  <w:style w:type="character" w:styleId="ListLabel718">
    <w:name w:val="ListLabel 718"/>
    <w:qFormat/>
    <w:rPr>
      <w:rFonts w:cs="Wingdings"/>
    </w:rPr>
  </w:style>
  <w:style w:type="character" w:styleId="ListLabel719">
    <w:name w:val="ListLabel 719"/>
    <w:qFormat/>
    <w:rPr>
      <w:rFonts w:cs="Symbol"/>
    </w:rPr>
  </w:style>
  <w:style w:type="character" w:styleId="ListLabel720">
    <w:name w:val="ListLabel 720"/>
    <w:qFormat/>
    <w:rPr>
      <w:rFonts w:cs="Courier New"/>
    </w:rPr>
  </w:style>
  <w:style w:type="character" w:styleId="ListLabel721">
    <w:name w:val="ListLabel 721"/>
    <w:qFormat/>
    <w:rPr>
      <w:rFonts w:cs="Wingdings"/>
    </w:rPr>
  </w:style>
  <w:style w:type="character" w:styleId="ListLabel722">
    <w:name w:val="ListLabel 722"/>
    <w:qFormat/>
    <w:rPr>
      <w:rFonts w:ascii="Arial" w:hAnsi="Arial" w:cs="Symbol"/>
    </w:rPr>
  </w:style>
  <w:style w:type="character" w:styleId="ListLabel723">
    <w:name w:val="ListLabel 723"/>
    <w:qFormat/>
    <w:rPr>
      <w:rFonts w:cs="Courier New"/>
    </w:rPr>
  </w:style>
  <w:style w:type="character" w:styleId="ListLabel724">
    <w:name w:val="ListLabel 724"/>
    <w:qFormat/>
    <w:rPr>
      <w:rFonts w:cs="Wingdings"/>
    </w:rPr>
  </w:style>
  <w:style w:type="character" w:styleId="ListLabel725">
    <w:name w:val="ListLabel 725"/>
    <w:qFormat/>
    <w:rPr>
      <w:rFonts w:cs="Symbol"/>
    </w:rPr>
  </w:style>
  <w:style w:type="character" w:styleId="ListLabel726">
    <w:name w:val="ListLabel 726"/>
    <w:qFormat/>
    <w:rPr>
      <w:rFonts w:cs="Courier New"/>
    </w:rPr>
  </w:style>
  <w:style w:type="character" w:styleId="ListLabel727">
    <w:name w:val="ListLabel 727"/>
    <w:qFormat/>
    <w:rPr>
      <w:rFonts w:cs="Wingdings"/>
    </w:rPr>
  </w:style>
  <w:style w:type="character" w:styleId="ListLabel728">
    <w:name w:val="ListLabel 728"/>
    <w:qFormat/>
    <w:rPr>
      <w:rFonts w:cs="Symbol"/>
    </w:rPr>
  </w:style>
  <w:style w:type="character" w:styleId="ListLabel729">
    <w:name w:val="ListLabel 729"/>
    <w:qFormat/>
    <w:rPr>
      <w:rFonts w:cs="Courier New"/>
    </w:rPr>
  </w:style>
  <w:style w:type="character" w:styleId="ListLabel730">
    <w:name w:val="ListLabel 730"/>
    <w:qFormat/>
    <w:rPr>
      <w:rFonts w:cs="Wingdings"/>
    </w:rPr>
  </w:style>
  <w:style w:type="character" w:styleId="ListLabel731">
    <w:name w:val="ListLabel 731"/>
    <w:qFormat/>
    <w:rPr>
      <w:rFonts w:ascii="Arial" w:hAnsi="Arial" w:cs="Symbol"/>
      <w:b w:val="false"/>
    </w:rPr>
  </w:style>
  <w:style w:type="character" w:styleId="ListLabel732">
    <w:name w:val="ListLabel 732"/>
    <w:qFormat/>
    <w:rPr>
      <w:rFonts w:cs="Courier New"/>
    </w:rPr>
  </w:style>
  <w:style w:type="character" w:styleId="ListLabel733">
    <w:name w:val="ListLabel 733"/>
    <w:qFormat/>
    <w:rPr>
      <w:rFonts w:cs="Wingdings"/>
    </w:rPr>
  </w:style>
  <w:style w:type="character" w:styleId="ListLabel734">
    <w:name w:val="ListLabel 734"/>
    <w:qFormat/>
    <w:rPr>
      <w:rFonts w:cs="Symbol"/>
    </w:rPr>
  </w:style>
  <w:style w:type="character" w:styleId="ListLabel735">
    <w:name w:val="ListLabel 735"/>
    <w:qFormat/>
    <w:rPr>
      <w:rFonts w:cs="Courier New"/>
    </w:rPr>
  </w:style>
  <w:style w:type="character" w:styleId="ListLabel736">
    <w:name w:val="ListLabel 736"/>
    <w:qFormat/>
    <w:rPr>
      <w:rFonts w:cs="Wingdings"/>
    </w:rPr>
  </w:style>
  <w:style w:type="character" w:styleId="ListLabel737">
    <w:name w:val="ListLabel 737"/>
    <w:qFormat/>
    <w:rPr>
      <w:rFonts w:cs="Symbol"/>
    </w:rPr>
  </w:style>
  <w:style w:type="character" w:styleId="ListLabel738">
    <w:name w:val="ListLabel 738"/>
    <w:qFormat/>
    <w:rPr>
      <w:rFonts w:cs="Courier New"/>
    </w:rPr>
  </w:style>
  <w:style w:type="character" w:styleId="ListLabel739">
    <w:name w:val="ListLabel 739"/>
    <w:qFormat/>
    <w:rPr>
      <w:rFonts w:cs="Wingdings"/>
    </w:rPr>
  </w:style>
  <w:style w:type="character" w:styleId="ListLabel740">
    <w:name w:val="ListLabel 740"/>
    <w:qFormat/>
    <w:rPr>
      <w:rFonts w:ascii="Arial" w:hAnsi="Arial" w:cs="Symbol"/>
    </w:rPr>
  </w:style>
  <w:style w:type="character" w:styleId="ListLabel741">
    <w:name w:val="ListLabel 741"/>
    <w:qFormat/>
    <w:rPr>
      <w:rFonts w:cs="Courier New"/>
    </w:rPr>
  </w:style>
  <w:style w:type="character" w:styleId="ListLabel742">
    <w:name w:val="ListLabel 742"/>
    <w:qFormat/>
    <w:rPr>
      <w:rFonts w:cs="Wingdings"/>
    </w:rPr>
  </w:style>
  <w:style w:type="character" w:styleId="ListLabel743">
    <w:name w:val="ListLabel 743"/>
    <w:qFormat/>
    <w:rPr>
      <w:rFonts w:cs="Symbol"/>
    </w:rPr>
  </w:style>
  <w:style w:type="character" w:styleId="ListLabel744">
    <w:name w:val="ListLabel 744"/>
    <w:qFormat/>
    <w:rPr>
      <w:rFonts w:cs="Courier New"/>
    </w:rPr>
  </w:style>
  <w:style w:type="character" w:styleId="ListLabel745">
    <w:name w:val="ListLabel 745"/>
    <w:qFormat/>
    <w:rPr>
      <w:rFonts w:cs="Wingdings"/>
    </w:rPr>
  </w:style>
  <w:style w:type="character" w:styleId="ListLabel746">
    <w:name w:val="ListLabel 746"/>
    <w:qFormat/>
    <w:rPr>
      <w:rFonts w:cs="Symbol"/>
    </w:rPr>
  </w:style>
  <w:style w:type="character" w:styleId="ListLabel747">
    <w:name w:val="ListLabel 747"/>
    <w:qFormat/>
    <w:rPr>
      <w:rFonts w:cs="Courier New"/>
    </w:rPr>
  </w:style>
  <w:style w:type="character" w:styleId="ListLabel748">
    <w:name w:val="ListLabel 748"/>
    <w:qFormat/>
    <w:rPr>
      <w:rFonts w:cs="Wingdings"/>
    </w:rPr>
  </w:style>
  <w:style w:type="character" w:styleId="ListLabel749">
    <w:name w:val="ListLabel 749"/>
    <w:qFormat/>
    <w:rPr>
      <w:rFonts w:ascii="Arial" w:hAnsi="Arial" w:cs="Symbol"/>
    </w:rPr>
  </w:style>
  <w:style w:type="character" w:styleId="ListLabel750">
    <w:name w:val="ListLabel 750"/>
    <w:qFormat/>
    <w:rPr>
      <w:rFonts w:cs="Courier New"/>
    </w:rPr>
  </w:style>
  <w:style w:type="character" w:styleId="ListLabel751">
    <w:name w:val="ListLabel 751"/>
    <w:qFormat/>
    <w:rPr>
      <w:rFonts w:cs="Wingdings"/>
    </w:rPr>
  </w:style>
  <w:style w:type="character" w:styleId="ListLabel752">
    <w:name w:val="ListLabel 752"/>
    <w:qFormat/>
    <w:rPr>
      <w:rFonts w:cs="Symbol"/>
    </w:rPr>
  </w:style>
  <w:style w:type="character" w:styleId="ListLabel753">
    <w:name w:val="ListLabel 753"/>
    <w:qFormat/>
    <w:rPr>
      <w:rFonts w:cs="Courier New"/>
    </w:rPr>
  </w:style>
  <w:style w:type="character" w:styleId="ListLabel754">
    <w:name w:val="ListLabel 754"/>
    <w:qFormat/>
    <w:rPr>
      <w:rFonts w:cs="Wingdings"/>
    </w:rPr>
  </w:style>
  <w:style w:type="character" w:styleId="ListLabel755">
    <w:name w:val="ListLabel 755"/>
    <w:qFormat/>
    <w:rPr>
      <w:rFonts w:cs="Symbol"/>
    </w:rPr>
  </w:style>
  <w:style w:type="character" w:styleId="ListLabel756">
    <w:name w:val="ListLabel 756"/>
    <w:qFormat/>
    <w:rPr>
      <w:rFonts w:cs="Courier New"/>
    </w:rPr>
  </w:style>
  <w:style w:type="character" w:styleId="ListLabel757">
    <w:name w:val="ListLabel 757"/>
    <w:qFormat/>
    <w:rPr>
      <w:rFonts w:cs="Wingdings"/>
    </w:rPr>
  </w:style>
  <w:style w:type="character" w:styleId="ListLabel758">
    <w:name w:val="ListLabel 758"/>
    <w:qFormat/>
    <w:rPr>
      <w:rFonts w:ascii="Arial" w:hAnsi="Arial" w:cs="Wingdings"/>
    </w:rPr>
  </w:style>
  <w:style w:type="character" w:styleId="ListLabel759">
    <w:name w:val="ListLabel 759"/>
    <w:qFormat/>
    <w:rPr>
      <w:rFonts w:cs="Courier New"/>
    </w:rPr>
  </w:style>
  <w:style w:type="character" w:styleId="ListLabel760">
    <w:name w:val="ListLabel 760"/>
    <w:qFormat/>
    <w:rPr>
      <w:rFonts w:cs="Wingdings"/>
    </w:rPr>
  </w:style>
  <w:style w:type="character" w:styleId="ListLabel761">
    <w:name w:val="ListLabel 761"/>
    <w:qFormat/>
    <w:rPr>
      <w:rFonts w:cs="Symbol"/>
    </w:rPr>
  </w:style>
  <w:style w:type="character" w:styleId="ListLabel762">
    <w:name w:val="ListLabel 762"/>
    <w:qFormat/>
    <w:rPr>
      <w:rFonts w:cs="Courier New"/>
    </w:rPr>
  </w:style>
  <w:style w:type="character" w:styleId="ListLabel763">
    <w:name w:val="ListLabel 763"/>
    <w:qFormat/>
    <w:rPr>
      <w:rFonts w:cs="Wingdings"/>
    </w:rPr>
  </w:style>
  <w:style w:type="character" w:styleId="ListLabel764">
    <w:name w:val="ListLabel 764"/>
    <w:qFormat/>
    <w:rPr>
      <w:rFonts w:cs="Symbol"/>
    </w:rPr>
  </w:style>
  <w:style w:type="character" w:styleId="ListLabel765">
    <w:name w:val="ListLabel 765"/>
    <w:qFormat/>
    <w:rPr>
      <w:rFonts w:cs="Courier New"/>
    </w:rPr>
  </w:style>
  <w:style w:type="character" w:styleId="ListLabel766">
    <w:name w:val="ListLabel 766"/>
    <w:qFormat/>
    <w:rPr>
      <w:rFonts w:cs="Wingdings"/>
    </w:rPr>
  </w:style>
  <w:style w:type="character" w:styleId="ListLabel767">
    <w:name w:val="ListLabel 767"/>
    <w:qFormat/>
    <w:rPr>
      <w:rFonts w:ascii="Arial" w:hAnsi="Arial" w:cs="Symbol"/>
    </w:rPr>
  </w:style>
  <w:style w:type="character" w:styleId="ListLabel768">
    <w:name w:val="ListLabel 768"/>
    <w:qFormat/>
    <w:rPr>
      <w:rFonts w:cs="Courier New"/>
    </w:rPr>
  </w:style>
  <w:style w:type="character" w:styleId="ListLabel769">
    <w:name w:val="ListLabel 769"/>
    <w:qFormat/>
    <w:rPr>
      <w:rFonts w:cs="Wingdings"/>
    </w:rPr>
  </w:style>
  <w:style w:type="character" w:styleId="ListLabel770">
    <w:name w:val="ListLabel 770"/>
    <w:qFormat/>
    <w:rPr>
      <w:rFonts w:cs="Symbol"/>
    </w:rPr>
  </w:style>
  <w:style w:type="character" w:styleId="ListLabel771">
    <w:name w:val="ListLabel 771"/>
    <w:qFormat/>
    <w:rPr>
      <w:rFonts w:cs="Courier New"/>
    </w:rPr>
  </w:style>
  <w:style w:type="character" w:styleId="ListLabel772">
    <w:name w:val="ListLabel 772"/>
    <w:qFormat/>
    <w:rPr>
      <w:rFonts w:cs="Wingdings"/>
    </w:rPr>
  </w:style>
  <w:style w:type="character" w:styleId="ListLabel773">
    <w:name w:val="ListLabel 773"/>
    <w:qFormat/>
    <w:rPr>
      <w:rFonts w:cs="Symbol"/>
    </w:rPr>
  </w:style>
  <w:style w:type="character" w:styleId="ListLabel774">
    <w:name w:val="ListLabel 774"/>
    <w:qFormat/>
    <w:rPr>
      <w:rFonts w:cs="Courier New"/>
    </w:rPr>
  </w:style>
  <w:style w:type="character" w:styleId="ListLabel775">
    <w:name w:val="ListLabel 775"/>
    <w:qFormat/>
    <w:rPr>
      <w:rFonts w:cs="Wingdings"/>
    </w:rPr>
  </w:style>
  <w:style w:type="character" w:styleId="ListLabel776">
    <w:name w:val="ListLabel 776"/>
    <w:qFormat/>
    <w:rPr>
      <w:rFonts w:ascii="Arial" w:hAnsi="Arial" w:cs="Wingdings"/>
    </w:rPr>
  </w:style>
  <w:style w:type="character" w:styleId="ListLabel777">
    <w:name w:val="ListLabel 777"/>
    <w:qFormat/>
    <w:rPr>
      <w:rFonts w:cs="Courier New"/>
    </w:rPr>
  </w:style>
  <w:style w:type="character" w:styleId="ListLabel778">
    <w:name w:val="ListLabel 778"/>
    <w:qFormat/>
    <w:rPr>
      <w:rFonts w:cs="Wingdings"/>
    </w:rPr>
  </w:style>
  <w:style w:type="character" w:styleId="ListLabel779">
    <w:name w:val="ListLabel 779"/>
    <w:qFormat/>
    <w:rPr>
      <w:rFonts w:cs="Symbol"/>
    </w:rPr>
  </w:style>
  <w:style w:type="character" w:styleId="ListLabel780">
    <w:name w:val="ListLabel 780"/>
    <w:qFormat/>
    <w:rPr>
      <w:rFonts w:cs="Courier New"/>
    </w:rPr>
  </w:style>
  <w:style w:type="character" w:styleId="ListLabel781">
    <w:name w:val="ListLabel 781"/>
    <w:qFormat/>
    <w:rPr>
      <w:rFonts w:cs="Wingdings"/>
    </w:rPr>
  </w:style>
  <w:style w:type="character" w:styleId="ListLabel782">
    <w:name w:val="ListLabel 782"/>
    <w:qFormat/>
    <w:rPr>
      <w:rFonts w:cs="Symbol"/>
    </w:rPr>
  </w:style>
  <w:style w:type="character" w:styleId="ListLabel783">
    <w:name w:val="ListLabel 783"/>
    <w:qFormat/>
    <w:rPr>
      <w:rFonts w:cs="Courier New"/>
    </w:rPr>
  </w:style>
  <w:style w:type="character" w:styleId="ListLabel784">
    <w:name w:val="ListLabel 784"/>
    <w:qFormat/>
    <w:rPr>
      <w:rFonts w:cs="Wingdings"/>
    </w:rPr>
  </w:style>
  <w:style w:type="character" w:styleId="ListLabel785">
    <w:name w:val="ListLabel 785"/>
    <w:qFormat/>
    <w:rPr>
      <w:rFonts w:ascii="Arial" w:hAnsi="Arial" w:cs="Symbol"/>
    </w:rPr>
  </w:style>
  <w:style w:type="character" w:styleId="ListLabel786">
    <w:name w:val="ListLabel 786"/>
    <w:qFormat/>
    <w:rPr>
      <w:rFonts w:cs="Courier New"/>
    </w:rPr>
  </w:style>
  <w:style w:type="character" w:styleId="ListLabel787">
    <w:name w:val="ListLabel 787"/>
    <w:qFormat/>
    <w:rPr>
      <w:rFonts w:cs="Wingdings"/>
    </w:rPr>
  </w:style>
  <w:style w:type="character" w:styleId="ListLabel788">
    <w:name w:val="ListLabel 788"/>
    <w:qFormat/>
    <w:rPr>
      <w:rFonts w:cs="Symbol"/>
    </w:rPr>
  </w:style>
  <w:style w:type="character" w:styleId="ListLabel789">
    <w:name w:val="ListLabel 789"/>
    <w:qFormat/>
    <w:rPr>
      <w:rFonts w:cs="Courier New"/>
    </w:rPr>
  </w:style>
  <w:style w:type="character" w:styleId="ListLabel790">
    <w:name w:val="ListLabel 790"/>
    <w:qFormat/>
    <w:rPr>
      <w:rFonts w:cs="Wingdings"/>
    </w:rPr>
  </w:style>
  <w:style w:type="character" w:styleId="ListLabel791">
    <w:name w:val="ListLabel 791"/>
    <w:qFormat/>
    <w:rPr>
      <w:rFonts w:cs="Symbol"/>
    </w:rPr>
  </w:style>
  <w:style w:type="character" w:styleId="ListLabel792">
    <w:name w:val="ListLabel 792"/>
    <w:qFormat/>
    <w:rPr>
      <w:rFonts w:cs="Courier New"/>
    </w:rPr>
  </w:style>
  <w:style w:type="character" w:styleId="ListLabel793">
    <w:name w:val="ListLabel 793"/>
    <w:qFormat/>
    <w:rPr>
      <w:rFonts w:cs="Wingdings"/>
    </w:rPr>
  </w:style>
  <w:style w:type="character" w:styleId="ListLabel794">
    <w:name w:val="ListLabel 794"/>
    <w:qFormat/>
    <w:rPr>
      <w:rFonts w:ascii="Arial" w:hAnsi="Arial" w:cs="Symbol"/>
    </w:rPr>
  </w:style>
  <w:style w:type="character" w:styleId="ListLabel795">
    <w:name w:val="ListLabel 795"/>
    <w:qFormat/>
    <w:rPr>
      <w:rFonts w:cs="Courier New"/>
    </w:rPr>
  </w:style>
  <w:style w:type="character" w:styleId="ListLabel796">
    <w:name w:val="ListLabel 796"/>
    <w:qFormat/>
    <w:rPr>
      <w:rFonts w:cs="Wingdings"/>
    </w:rPr>
  </w:style>
  <w:style w:type="character" w:styleId="ListLabel797">
    <w:name w:val="ListLabel 797"/>
    <w:qFormat/>
    <w:rPr>
      <w:rFonts w:cs="Symbol"/>
    </w:rPr>
  </w:style>
  <w:style w:type="character" w:styleId="ListLabel798">
    <w:name w:val="ListLabel 798"/>
    <w:qFormat/>
    <w:rPr>
      <w:rFonts w:cs="Courier New"/>
    </w:rPr>
  </w:style>
  <w:style w:type="character" w:styleId="ListLabel799">
    <w:name w:val="ListLabel 799"/>
    <w:qFormat/>
    <w:rPr>
      <w:rFonts w:cs="Wingdings"/>
    </w:rPr>
  </w:style>
  <w:style w:type="character" w:styleId="ListLabel800">
    <w:name w:val="ListLabel 800"/>
    <w:qFormat/>
    <w:rPr>
      <w:rFonts w:cs="Symbol"/>
    </w:rPr>
  </w:style>
  <w:style w:type="character" w:styleId="ListLabel801">
    <w:name w:val="ListLabel 801"/>
    <w:qFormat/>
    <w:rPr>
      <w:rFonts w:cs="Courier New"/>
    </w:rPr>
  </w:style>
  <w:style w:type="character" w:styleId="ListLabel802">
    <w:name w:val="ListLabel 802"/>
    <w:qFormat/>
    <w:rPr>
      <w:rFonts w:cs="Wingdings"/>
    </w:rPr>
  </w:style>
  <w:style w:type="character" w:styleId="ListLabel803">
    <w:name w:val="ListLabel 803"/>
    <w:qFormat/>
    <w:rPr>
      <w:rFonts w:ascii="Arial" w:hAnsi="Arial"/>
      <w:b/>
      <w:bCs w:val="false"/>
    </w:rPr>
  </w:style>
  <w:style w:type="character" w:styleId="ListLabel804">
    <w:name w:val="ListLabel 804"/>
    <w:qFormat/>
    <w:rPr>
      <w:rFonts w:ascii="Arial" w:hAnsi="Arial" w:cs="Arial"/>
    </w:rPr>
  </w:style>
  <w:style w:type="character" w:styleId="ListLabel805">
    <w:name w:val="ListLabel 805"/>
    <w:qFormat/>
    <w:rPr>
      <w:rFonts w:ascii="Arial" w:hAnsi="Arial" w:cs="Arial"/>
      <w:color w:val="000000"/>
      <w:u w:val="none"/>
    </w:rPr>
  </w:style>
  <w:style w:type="character" w:styleId="ListLabel806">
    <w:name w:val="ListLabel 806"/>
    <w:qFormat/>
    <w:rPr>
      <w:rFonts w:ascii="Arial" w:hAnsi="Arial" w:cs="Arial"/>
      <w:i/>
      <w:color w:val="000000"/>
      <w:u w:val="none"/>
    </w:rPr>
  </w:style>
  <w:style w:type="character" w:styleId="ListLabel807">
    <w:name w:val="ListLabel 807"/>
    <w:qFormat/>
    <w:rPr>
      <w:rFonts w:ascii="Arial" w:hAnsi="Arial"/>
      <w:b/>
      <w:sz w:val="24"/>
    </w:rPr>
  </w:style>
  <w:style w:type="character" w:styleId="ListLabel808">
    <w:name w:val="ListLabel 808"/>
    <w:qFormat/>
    <w:rPr>
      <w:rFonts w:ascii="Arial" w:hAnsi="Arial"/>
      <w:b/>
      <w:sz w:val="24"/>
    </w:rPr>
  </w:style>
  <w:style w:type="character" w:styleId="ListLabel809">
    <w:name w:val="ListLabel 809"/>
    <w:qFormat/>
    <w:rPr>
      <w:rFonts w:ascii="Arial" w:hAnsi="Arial"/>
      <w:b/>
      <w:sz w:val="24"/>
    </w:rPr>
  </w:style>
  <w:style w:type="character" w:styleId="ListLabel810">
    <w:name w:val="ListLabel 810"/>
    <w:qFormat/>
    <w:rPr>
      <w:i/>
    </w:rPr>
  </w:style>
  <w:style w:type="character" w:styleId="ListLabel811">
    <w:name w:val="ListLabel 811"/>
    <w:qFormat/>
    <w:rPr>
      <w:rFonts w:ascii="Arial" w:hAnsi="Arial"/>
      <w:b/>
      <w:sz w:val="22"/>
    </w:rPr>
  </w:style>
  <w:style w:type="character" w:styleId="ListLabel812">
    <w:name w:val="ListLabel 812"/>
    <w:qFormat/>
    <w:rPr>
      <w:b/>
    </w:rPr>
  </w:style>
  <w:style w:type="character" w:styleId="ListLabel813">
    <w:name w:val="ListLabel 813"/>
    <w:qFormat/>
    <w:rPr>
      <w:rFonts w:ascii="Arial" w:hAnsi="Arial"/>
      <w:b/>
    </w:rPr>
  </w:style>
  <w:style w:type="character" w:styleId="ListLabel814">
    <w:name w:val="ListLabel 814"/>
    <w:qFormat/>
    <w:rPr>
      <w:rFonts w:ascii="Arial" w:hAnsi="Arial" w:cs="Symbol"/>
    </w:rPr>
  </w:style>
  <w:style w:type="character" w:styleId="ListLabel815">
    <w:name w:val="ListLabel 815"/>
    <w:qFormat/>
    <w:rPr>
      <w:rFonts w:cs="Courier New"/>
    </w:rPr>
  </w:style>
  <w:style w:type="character" w:styleId="ListLabel816">
    <w:name w:val="ListLabel 816"/>
    <w:qFormat/>
    <w:rPr>
      <w:rFonts w:cs="Wingdings"/>
    </w:rPr>
  </w:style>
  <w:style w:type="character" w:styleId="ListLabel817">
    <w:name w:val="ListLabel 817"/>
    <w:qFormat/>
    <w:rPr>
      <w:rFonts w:cs="Symbol"/>
    </w:rPr>
  </w:style>
  <w:style w:type="character" w:styleId="ListLabel818">
    <w:name w:val="ListLabel 818"/>
    <w:qFormat/>
    <w:rPr>
      <w:rFonts w:cs="Courier New"/>
    </w:rPr>
  </w:style>
  <w:style w:type="character" w:styleId="ListLabel819">
    <w:name w:val="ListLabel 819"/>
    <w:qFormat/>
    <w:rPr>
      <w:rFonts w:cs="Wingdings"/>
    </w:rPr>
  </w:style>
  <w:style w:type="character" w:styleId="ListLabel820">
    <w:name w:val="ListLabel 820"/>
    <w:qFormat/>
    <w:rPr>
      <w:rFonts w:cs="Symbol"/>
    </w:rPr>
  </w:style>
  <w:style w:type="character" w:styleId="ListLabel821">
    <w:name w:val="ListLabel 821"/>
    <w:qFormat/>
    <w:rPr>
      <w:rFonts w:cs="Courier New"/>
    </w:rPr>
  </w:style>
  <w:style w:type="character" w:styleId="ListLabel822">
    <w:name w:val="ListLabel 822"/>
    <w:qFormat/>
    <w:rPr>
      <w:rFonts w:cs="Wingdings"/>
    </w:rPr>
  </w:style>
  <w:style w:type="character" w:styleId="ListLabel823">
    <w:name w:val="ListLabel 823"/>
    <w:qFormat/>
    <w:rPr>
      <w:rFonts w:ascii="Arial" w:hAnsi="Arial" w:cs="Symbol"/>
    </w:rPr>
  </w:style>
  <w:style w:type="character" w:styleId="ListLabel824">
    <w:name w:val="ListLabel 824"/>
    <w:qFormat/>
    <w:rPr>
      <w:rFonts w:cs="Courier New"/>
    </w:rPr>
  </w:style>
  <w:style w:type="character" w:styleId="ListLabel825">
    <w:name w:val="ListLabel 825"/>
    <w:qFormat/>
    <w:rPr>
      <w:rFonts w:cs="Wingdings"/>
    </w:rPr>
  </w:style>
  <w:style w:type="character" w:styleId="ListLabel826">
    <w:name w:val="ListLabel 826"/>
    <w:qFormat/>
    <w:rPr>
      <w:rFonts w:cs="Symbol"/>
    </w:rPr>
  </w:style>
  <w:style w:type="character" w:styleId="ListLabel827">
    <w:name w:val="ListLabel 827"/>
    <w:qFormat/>
    <w:rPr>
      <w:rFonts w:cs="Courier New"/>
    </w:rPr>
  </w:style>
  <w:style w:type="character" w:styleId="ListLabel828">
    <w:name w:val="ListLabel 828"/>
    <w:qFormat/>
    <w:rPr>
      <w:rFonts w:cs="Wingdings"/>
    </w:rPr>
  </w:style>
  <w:style w:type="character" w:styleId="ListLabel829">
    <w:name w:val="ListLabel 829"/>
    <w:qFormat/>
    <w:rPr>
      <w:rFonts w:cs="Symbol"/>
    </w:rPr>
  </w:style>
  <w:style w:type="character" w:styleId="ListLabel830">
    <w:name w:val="ListLabel 830"/>
    <w:qFormat/>
    <w:rPr>
      <w:rFonts w:cs="Courier New"/>
    </w:rPr>
  </w:style>
  <w:style w:type="character" w:styleId="ListLabel831">
    <w:name w:val="ListLabel 831"/>
    <w:qFormat/>
    <w:rPr>
      <w:rFonts w:cs="Wingdings"/>
    </w:rPr>
  </w:style>
  <w:style w:type="character" w:styleId="ListLabel832">
    <w:name w:val="ListLabel 832"/>
    <w:qFormat/>
    <w:rPr>
      <w:rFonts w:ascii="Arial" w:hAnsi="Arial" w:cs="Symbol"/>
    </w:rPr>
  </w:style>
  <w:style w:type="character" w:styleId="ListLabel833">
    <w:name w:val="ListLabel 833"/>
    <w:qFormat/>
    <w:rPr>
      <w:rFonts w:cs="Courier New"/>
    </w:rPr>
  </w:style>
  <w:style w:type="character" w:styleId="ListLabel834">
    <w:name w:val="ListLabel 834"/>
    <w:qFormat/>
    <w:rPr>
      <w:rFonts w:cs="Wingdings"/>
    </w:rPr>
  </w:style>
  <w:style w:type="character" w:styleId="ListLabel835">
    <w:name w:val="ListLabel 835"/>
    <w:qFormat/>
    <w:rPr>
      <w:rFonts w:cs="Symbol"/>
    </w:rPr>
  </w:style>
  <w:style w:type="character" w:styleId="ListLabel836">
    <w:name w:val="ListLabel 836"/>
    <w:qFormat/>
    <w:rPr>
      <w:rFonts w:cs="Courier New"/>
    </w:rPr>
  </w:style>
  <w:style w:type="character" w:styleId="ListLabel837">
    <w:name w:val="ListLabel 837"/>
    <w:qFormat/>
    <w:rPr>
      <w:rFonts w:cs="Wingdings"/>
    </w:rPr>
  </w:style>
  <w:style w:type="character" w:styleId="ListLabel838">
    <w:name w:val="ListLabel 838"/>
    <w:qFormat/>
    <w:rPr>
      <w:rFonts w:cs="Symbol"/>
    </w:rPr>
  </w:style>
  <w:style w:type="character" w:styleId="ListLabel839">
    <w:name w:val="ListLabel 839"/>
    <w:qFormat/>
    <w:rPr>
      <w:rFonts w:cs="Courier New"/>
    </w:rPr>
  </w:style>
  <w:style w:type="character" w:styleId="ListLabel840">
    <w:name w:val="ListLabel 840"/>
    <w:qFormat/>
    <w:rPr>
      <w:rFonts w:cs="Wingdings"/>
    </w:rPr>
  </w:style>
  <w:style w:type="character" w:styleId="ListLabel841">
    <w:name w:val="ListLabel 841"/>
    <w:qFormat/>
    <w:rPr>
      <w:rFonts w:ascii="Arial" w:hAnsi="Arial" w:cs="Symbol"/>
    </w:rPr>
  </w:style>
  <w:style w:type="character" w:styleId="ListLabel842">
    <w:name w:val="ListLabel 842"/>
    <w:qFormat/>
    <w:rPr>
      <w:rFonts w:cs="Wingdings"/>
    </w:rPr>
  </w:style>
  <w:style w:type="character" w:styleId="ListLabel843">
    <w:name w:val="ListLabel 843"/>
    <w:qFormat/>
    <w:rPr>
      <w:rFonts w:cs="Symbol"/>
    </w:rPr>
  </w:style>
  <w:style w:type="character" w:styleId="ListLabel844">
    <w:name w:val="ListLabel 844"/>
    <w:qFormat/>
    <w:rPr>
      <w:rFonts w:cs="Courier New"/>
    </w:rPr>
  </w:style>
  <w:style w:type="character" w:styleId="ListLabel845">
    <w:name w:val="ListLabel 845"/>
    <w:qFormat/>
    <w:rPr>
      <w:rFonts w:cs="Wingdings"/>
    </w:rPr>
  </w:style>
  <w:style w:type="character" w:styleId="ListLabel846">
    <w:name w:val="ListLabel 846"/>
    <w:qFormat/>
    <w:rPr>
      <w:rFonts w:cs="Symbol"/>
    </w:rPr>
  </w:style>
  <w:style w:type="character" w:styleId="ListLabel847">
    <w:name w:val="ListLabel 847"/>
    <w:qFormat/>
    <w:rPr>
      <w:rFonts w:cs="Courier New"/>
    </w:rPr>
  </w:style>
  <w:style w:type="character" w:styleId="ListLabel848">
    <w:name w:val="ListLabel 848"/>
    <w:qFormat/>
    <w:rPr>
      <w:rFonts w:cs="Wingdings"/>
    </w:rPr>
  </w:style>
  <w:style w:type="character" w:styleId="ListLabel849">
    <w:name w:val="ListLabel 849"/>
    <w:qFormat/>
    <w:rPr>
      <w:rFonts w:ascii="Arial" w:hAnsi="Arial" w:cs="Symbol"/>
    </w:rPr>
  </w:style>
  <w:style w:type="character" w:styleId="ListLabel850">
    <w:name w:val="ListLabel 850"/>
    <w:qFormat/>
    <w:rPr>
      <w:rFonts w:cs="Wingdings"/>
    </w:rPr>
  </w:style>
  <w:style w:type="character" w:styleId="ListLabel851">
    <w:name w:val="ListLabel 851"/>
    <w:qFormat/>
    <w:rPr>
      <w:rFonts w:cs="Symbol"/>
    </w:rPr>
  </w:style>
  <w:style w:type="character" w:styleId="ListLabel852">
    <w:name w:val="ListLabel 852"/>
    <w:qFormat/>
    <w:rPr>
      <w:rFonts w:cs="Courier New"/>
    </w:rPr>
  </w:style>
  <w:style w:type="character" w:styleId="ListLabel853">
    <w:name w:val="ListLabel 853"/>
    <w:qFormat/>
    <w:rPr>
      <w:rFonts w:cs="Wingdings"/>
    </w:rPr>
  </w:style>
  <w:style w:type="character" w:styleId="ListLabel854">
    <w:name w:val="ListLabel 854"/>
    <w:qFormat/>
    <w:rPr>
      <w:rFonts w:cs="Symbol"/>
    </w:rPr>
  </w:style>
  <w:style w:type="character" w:styleId="ListLabel855">
    <w:name w:val="ListLabel 855"/>
    <w:qFormat/>
    <w:rPr>
      <w:rFonts w:cs="Courier New"/>
    </w:rPr>
  </w:style>
  <w:style w:type="character" w:styleId="ListLabel856">
    <w:name w:val="ListLabel 856"/>
    <w:qFormat/>
    <w:rPr>
      <w:rFonts w:cs="Wingdings"/>
    </w:rPr>
  </w:style>
  <w:style w:type="character" w:styleId="ListLabel857">
    <w:name w:val="ListLabel 857"/>
    <w:qFormat/>
    <w:rPr>
      <w:rFonts w:ascii="Arial" w:hAnsi="Arial" w:cs="Symbol"/>
    </w:rPr>
  </w:style>
  <w:style w:type="character" w:styleId="ListLabel858">
    <w:name w:val="ListLabel 858"/>
    <w:qFormat/>
    <w:rPr>
      <w:rFonts w:cs="Courier New"/>
    </w:rPr>
  </w:style>
  <w:style w:type="character" w:styleId="ListLabel859">
    <w:name w:val="ListLabel 859"/>
    <w:qFormat/>
    <w:rPr>
      <w:rFonts w:cs="Wingdings"/>
    </w:rPr>
  </w:style>
  <w:style w:type="character" w:styleId="ListLabel860">
    <w:name w:val="ListLabel 860"/>
    <w:qFormat/>
    <w:rPr>
      <w:rFonts w:cs="Symbol"/>
    </w:rPr>
  </w:style>
  <w:style w:type="character" w:styleId="ListLabel861">
    <w:name w:val="ListLabel 861"/>
    <w:qFormat/>
    <w:rPr>
      <w:rFonts w:cs="Courier New"/>
    </w:rPr>
  </w:style>
  <w:style w:type="character" w:styleId="ListLabel862">
    <w:name w:val="ListLabel 862"/>
    <w:qFormat/>
    <w:rPr>
      <w:rFonts w:cs="Wingdings"/>
    </w:rPr>
  </w:style>
  <w:style w:type="character" w:styleId="ListLabel863">
    <w:name w:val="ListLabel 863"/>
    <w:qFormat/>
    <w:rPr>
      <w:rFonts w:cs="Symbol"/>
    </w:rPr>
  </w:style>
  <w:style w:type="character" w:styleId="ListLabel864">
    <w:name w:val="ListLabel 864"/>
    <w:qFormat/>
    <w:rPr>
      <w:rFonts w:cs="Courier New"/>
    </w:rPr>
  </w:style>
  <w:style w:type="character" w:styleId="ListLabel865">
    <w:name w:val="ListLabel 865"/>
    <w:qFormat/>
    <w:rPr>
      <w:rFonts w:cs="Wingdings"/>
    </w:rPr>
  </w:style>
  <w:style w:type="character" w:styleId="ListLabel866">
    <w:name w:val="ListLabel 866"/>
    <w:qFormat/>
    <w:rPr>
      <w:rFonts w:ascii="Arial" w:hAnsi="Arial" w:cs="Symbol"/>
    </w:rPr>
  </w:style>
  <w:style w:type="character" w:styleId="ListLabel867">
    <w:name w:val="ListLabel 867"/>
    <w:qFormat/>
    <w:rPr>
      <w:rFonts w:cs="Courier New"/>
    </w:rPr>
  </w:style>
  <w:style w:type="character" w:styleId="ListLabel868">
    <w:name w:val="ListLabel 868"/>
    <w:qFormat/>
    <w:rPr>
      <w:rFonts w:cs="Wingdings"/>
    </w:rPr>
  </w:style>
  <w:style w:type="character" w:styleId="ListLabel869">
    <w:name w:val="ListLabel 869"/>
    <w:qFormat/>
    <w:rPr>
      <w:rFonts w:cs="Symbol"/>
    </w:rPr>
  </w:style>
  <w:style w:type="character" w:styleId="ListLabel870">
    <w:name w:val="ListLabel 870"/>
    <w:qFormat/>
    <w:rPr>
      <w:rFonts w:cs="Courier New"/>
    </w:rPr>
  </w:style>
  <w:style w:type="character" w:styleId="ListLabel871">
    <w:name w:val="ListLabel 871"/>
    <w:qFormat/>
    <w:rPr>
      <w:rFonts w:cs="Wingdings"/>
    </w:rPr>
  </w:style>
  <w:style w:type="character" w:styleId="ListLabel872">
    <w:name w:val="ListLabel 872"/>
    <w:qFormat/>
    <w:rPr>
      <w:rFonts w:cs="Symbol"/>
    </w:rPr>
  </w:style>
  <w:style w:type="character" w:styleId="ListLabel873">
    <w:name w:val="ListLabel 873"/>
    <w:qFormat/>
    <w:rPr>
      <w:rFonts w:cs="Courier New"/>
    </w:rPr>
  </w:style>
  <w:style w:type="character" w:styleId="ListLabel874">
    <w:name w:val="ListLabel 874"/>
    <w:qFormat/>
    <w:rPr>
      <w:rFonts w:cs="Wingdings"/>
    </w:rPr>
  </w:style>
  <w:style w:type="character" w:styleId="ListLabel875">
    <w:name w:val="ListLabel 875"/>
    <w:qFormat/>
    <w:rPr>
      <w:rFonts w:ascii="Arial" w:hAnsi="Arial" w:cs="Symbol"/>
    </w:rPr>
  </w:style>
  <w:style w:type="character" w:styleId="ListLabel876">
    <w:name w:val="ListLabel 876"/>
    <w:qFormat/>
    <w:rPr>
      <w:rFonts w:cs="Courier New"/>
    </w:rPr>
  </w:style>
  <w:style w:type="character" w:styleId="ListLabel877">
    <w:name w:val="ListLabel 877"/>
    <w:qFormat/>
    <w:rPr>
      <w:rFonts w:cs="Wingdings"/>
    </w:rPr>
  </w:style>
  <w:style w:type="character" w:styleId="ListLabel878">
    <w:name w:val="ListLabel 878"/>
    <w:qFormat/>
    <w:rPr>
      <w:rFonts w:cs="Symbol"/>
    </w:rPr>
  </w:style>
  <w:style w:type="character" w:styleId="ListLabel879">
    <w:name w:val="ListLabel 879"/>
    <w:qFormat/>
    <w:rPr>
      <w:rFonts w:cs="Courier New"/>
    </w:rPr>
  </w:style>
  <w:style w:type="character" w:styleId="ListLabel880">
    <w:name w:val="ListLabel 880"/>
    <w:qFormat/>
    <w:rPr>
      <w:rFonts w:cs="Wingdings"/>
    </w:rPr>
  </w:style>
  <w:style w:type="character" w:styleId="ListLabel881">
    <w:name w:val="ListLabel 881"/>
    <w:qFormat/>
    <w:rPr>
      <w:rFonts w:cs="Symbol"/>
    </w:rPr>
  </w:style>
  <w:style w:type="character" w:styleId="ListLabel882">
    <w:name w:val="ListLabel 882"/>
    <w:qFormat/>
    <w:rPr>
      <w:rFonts w:cs="Courier New"/>
    </w:rPr>
  </w:style>
  <w:style w:type="character" w:styleId="ListLabel883">
    <w:name w:val="ListLabel 883"/>
    <w:qFormat/>
    <w:rPr>
      <w:rFonts w:cs="Wingdings"/>
    </w:rPr>
  </w:style>
  <w:style w:type="character" w:styleId="ListLabel884">
    <w:name w:val="ListLabel 884"/>
    <w:qFormat/>
    <w:rPr>
      <w:rFonts w:ascii="Arial" w:hAnsi="Arial" w:cs="Symbol"/>
    </w:rPr>
  </w:style>
  <w:style w:type="character" w:styleId="ListLabel885">
    <w:name w:val="ListLabel 885"/>
    <w:qFormat/>
    <w:rPr>
      <w:rFonts w:cs="Wingdings"/>
    </w:rPr>
  </w:style>
  <w:style w:type="character" w:styleId="ListLabel886">
    <w:name w:val="ListLabel 886"/>
    <w:qFormat/>
    <w:rPr>
      <w:rFonts w:cs="Symbol"/>
    </w:rPr>
  </w:style>
  <w:style w:type="character" w:styleId="ListLabel887">
    <w:name w:val="ListLabel 887"/>
    <w:qFormat/>
    <w:rPr>
      <w:rFonts w:cs="Courier New"/>
    </w:rPr>
  </w:style>
  <w:style w:type="character" w:styleId="ListLabel888">
    <w:name w:val="ListLabel 888"/>
    <w:qFormat/>
    <w:rPr>
      <w:rFonts w:cs="Wingdings"/>
    </w:rPr>
  </w:style>
  <w:style w:type="character" w:styleId="ListLabel889">
    <w:name w:val="ListLabel 889"/>
    <w:qFormat/>
    <w:rPr>
      <w:rFonts w:cs="Symbol"/>
    </w:rPr>
  </w:style>
  <w:style w:type="character" w:styleId="ListLabel890">
    <w:name w:val="ListLabel 890"/>
    <w:qFormat/>
    <w:rPr>
      <w:rFonts w:cs="Courier New"/>
    </w:rPr>
  </w:style>
  <w:style w:type="character" w:styleId="ListLabel891">
    <w:name w:val="ListLabel 891"/>
    <w:qFormat/>
    <w:rPr>
      <w:rFonts w:cs="Wingdings"/>
    </w:rPr>
  </w:style>
  <w:style w:type="character" w:styleId="ListLabel892">
    <w:name w:val="ListLabel 892"/>
    <w:qFormat/>
    <w:rPr>
      <w:rFonts w:ascii="Arial" w:hAnsi="Arial" w:cs="Symbol"/>
    </w:rPr>
  </w:style>
  <w:style w:type="character" w:styleId="ListLabel893">
    <w:name w:val="ListLabel 893"/>
    <w:qFormat/>
    <w:rPr>
      <w:rFonts w:cs="Courier New"/>
    </w:rPr>
  </w:style>
  <w:style w:type="character" w:styleId="ListLabel894">
    <w:name w:val="ListLabel 894"/>
    <w:qFormat/>
    <w:rPr>
      <w:rFonts w:cs="Wingdings"/>
    </w:rPr>
  </w:style>
  <w:style w:type="character" w:styleId="ListLabel895">
    <w:name w:val="ListLabel 895"/>
    <w:qFormat/>
    <w:rPr>
      <w:rFonts w:cs="Symbol"/>
    </w:rPr>
  </w:style>
  <w:style w:type="character" w:styleId="ListLabel896">
    <w:name w:val="ListLabel 896"/>
    <w:qFormat/>
    <w:rPr>
      <w:rFonts w:cs="Courier New"/>
    </w:rPr>
  </w:style>
  <w:style w:type="character" w:styleId="ListLabel897">
    <w:name w:val="ListLabel 897"/>
    <w:qFormat/>
    <w:rPr>
      <w:rFonts w:cs="Wingdings"/>
    </w:rPr>
  </w:style>
  <w:style w:type="character" w:styleId="ListLabel898">
    <w:name w:val="ListLabel 898"/>
    <w:qFormat/>
    <w:rPr>
      <w:rFonts w:cs="Symbol"/>
    </w:rPr>
  </w:style>
  <w:style w:type="character" w:styleId="ListLabel899">
    <w:name w:val="ListLabel 899"/>
    <w:qFormat/>
    <w:rPr>
      <w:rFonts w:cs="Courier New"/>
    </w:rPr>
  </w:style>
  <w:style w:type="character" w:styleId="ListLabel900">
    <w:name w:val="ListLabel 900"/>
    <w:qFormat/>
    <w:rPr>
      <w:rFonts w:cs="Wingdings"/>
    </w:rPr>
  </w:style>
  <w:style w:type="character" w:styleId="ListLabel901">
    <w:name w:val="ListLabel 901"/>
    <w:qFormat/>
    <w:rPr>
      <w:rFonts w:ascii="Arial" w:hAnsi="Arial" w:cs="Symbol"/>
    </w:rPr>
  </w:style>
  <w:style w:type="character" w:styleId="ListLabel902">
    <w:name w:val="ListLabel 902"/>
    <w:qFormat/>
    <w:rPr>
      <w:rFonts w:cs="Courier New"/>
    </w:rPr>
  </w:style>
  <w:style w:type="character" w:styleId="ListLabel903">
    <w:name w:val="ListLabel 903"/>
    <w:qFormat/>
    <w:rPr>
      <w:rFonts w:cs="Wingdings"/>
    </w:rPr>
  </w:style>
  <w:style w:type="character" w:styleId="ListLabel904">
    <w:name w:val="ListLabel 904"/>
    <w:qFormat/>
    <w:rPr>
      <w:rFonts w:cs="Symbol"/>
    </w:rPr>
  </w:style>
  <w:style w:type="character" w:styleId="ListLabel905">
    <w:name w:val="ListLabel 905"/>
    <w:qFormat/>
    <w:rPr>
      <w:rFonts w:cs="Courier New"/>
    </w:rPr>
  </w:style>
  <w:style w:type="character" w:styleId="ListLabel906">
    <w:name w:val="ListLabel 906"/>
    <w:qFormat/>
    <w:rPr>
      <w:rFonts w:cs="Wingdings"/>
    </w:rPr>
  </w:style>
  <w:style w:type="character" w:styleId="ListLabel907">
    <w:name w:val="ListLabel 907"/>
    <w:qFormat/>
    <w:rPr>
      <w:rFonts w:cs="Symbol"/>
    </w:rPr>
  </w:style>
  <w:style w:type="character" w:styleId="ListLabel908">
    <w:name w:val="ListLabel 908"/>
    <w:qFormat/>
    <w:rPr>
      <w:rFonts w:cs="Courier New"/>
    </w:rPr>
  </w:style>
  <w:style w:type="character" w:styleId="ListLabel909">
    <w:name w:val="ListLabel 909"/>
    <w:qFormat/>
    <w:rPr>
      <w:rFonts w:cs="Wingdings"/>
    </w:rPr>
  </w:style>
  <w:style w:type="character" w:styleId="ListLabel910">
    <w:name w:val="ListLabel 910"/>
    <w:qFormat/>
    <w:rPr>
      <w:rFonts w:ascii="Arial" w:hAnsi="Arial"/>
      <w:sz w:val="24"/>
      <w:szCs w:val="24"/>
    </w:rPr>
  </w:style>
  <w:style w:type="character" w:styleId="ListLabel911">
    <w:name w:val="ListLabel 911"/>
    <w:qFormat/>
    <w:rPr>
      <w:rFonts w:ascii="Arial" w:hAnsi="Arial" w:cs="Symbol"/>
    </w:rPr>
  </w:style>
  <w:style w:type="character" w:styleId="ListLabel912">
    <w:name w:val="ListLabel 912"/>
    <w:qFormat/>
    <w:rPr>
      <w:rFonts w:cs="Courier New"/>
    </w:rPr>
  </w:style>
  <w:style w:type="character" w:styleId="ListLabel913">
    <w:name w:val="ListLabel 913"/>
    <w:qFormat/>
    <w:rPr>
      <w:rFonts w:cs="Wingdings"/>
    </w:rPr>
  </w:style>
  <w:style w:type="character" w:styleId="ListLabel914">
    <w:name w:val="ListLabel 914"/>
    <w:qFormat/>
    <w:rPr>
      <w:rFonts w:cs="Symbol"/>
    </w:rPr>
  </w:style>
  <w:style w:type="character" w:styleId="ListLabel915">
    <w:name w:val="ListLabel 915"/>
    <w:qFormat/>
    <w:rPr>
      <w:rFonts w:cs="Courier New"/>
    </w:rPr>
  </w:style>
  <w:style w:type="character" w:styleId="ListLabel916">
    <w:name w:val="ListLabel 916"/>
    <w:qFormat/>
    <w:rPr>
      <w:rFonts w:cs="Wingdings"/>
    </w:rPr>
  </w:style>
  <w:style w:type="character" w:styleId="ListLabel917">
    <w:name w:val="ListLabel 917"/>
    <w:qFormat/>
    <w:rPr>
      <w:rFonts w:cs="Symbol"/>
    </w:rPr>
  </w:style>
  <w:style w:type="character" w:styleId="ListLabel918">
    <w:name w:val="ListLabel 918"/>
    <w:qFormat/>
    <w:rPr>
      <w:rFonts w:cs="Courier New"/>
    </w:rPr>
  </w:style>
  <w:style w:type="character" w:styleId="ListLabel919">
    <w:name w:val="ListLabel 919"/>
    <w:qFormat/>
    <w:rPr>
      <w:rFonts w:cs="Wingdings"/>
    </w:rPr>
  </w:style>
  <w:style w:type="character" w:styleId="ListLabel920">
    <w:name w:val="ListLabel 920"/>
    <w:qFormat/>
    <w:rPr>
      <w:rFonts w:ascii="Arial" w:hAnsi="Arial" w:cs="Symbol"/>
    </w:rPr>
  </w:style>
  <w:style w:type="character" w:styleId="ListLabel921">
    <w:name w:val="ListLabel 921"/>
    <w:qFormat/>
    <w:rPr>
      <w:rFonts w:ascii="Arial" w:hAnsi="Arial" w:cs="Symbol"/>
    </w:rPr>
  </w:style>
  <w:style w:type="character" w:styleId="ListLabel922">
    <w:name w:val="ListLabel 922"/>
    <w:qFormat/>
    <w:rPr>
      <w:rFonts w:ascii="Arial" w:hAnsi="Arial" w:cs="Symbol"/>
    </w:rPr>
  </w:style>
  <w:style w:type="character" w:styleId="ListLabel923">
    <w:name w:val="ListLabel 923"/>
    <w:qFormat/>
    <w:rPr>
      <w:rFonts w:ascii="Arial" w:hAnsi="Arial" w:cs="Symbol"/>
    </w:rPr>
  </w:style>
  <w:style w:type="character" w:styleId="ListLabel924">
    <w:name w:val="ListLabel 924"/>
    <w:qFormat/>
    <w:rPr>
      <w:rFonts w:ascii="Arial" w:hAnsi="Arial" w:cs="Symbol"/>
    </w:rPr>
  </w:style>
  <w:style w:type="character" w:styleId="ListLabel925">
    <w:name w:val="ListLabel 925"/>
    <w:qFormat/>
    <w:rPr>
      <w:rFonts w:ascii="Arial" w:hAnsi="Arial" w:cs="Symbol"/>
    </w:rPr>
  </w:style>
  <w:style w:type="character" w:styleId="ListLabel926">
    <w:name w:val="ListLabel 926"/>
    <w:qFormat/>
    <w:rPr>
      <w:rFonts w:ascii="Arial" w:hAnsi="Arial" w:cs="Symbol"/>
    </w:rPr>
  </w:style>
  <w:style w:type="character" w:styleId="ListLabel927">
    <w:name w:val="ListLabel 927"/>
    <w:qFormat/>
    <w:rPr>
      <w:rFonts w:ascii="Arial" w:hAnsi="Arial" w:cs="Symbol"/>
    </w:rPr>
  </w:style>
  <w:style w:type="character" w:styleId="ListLabel928">
    <w:name w:val="ListLabel 928"/>
    <w:qFormat/>
    <w:rPr>
      <w:rFonts w:cs="Courier New"/>
    </w:rPr>
  </w:style>
  <w:style w:type="character" w:styleId="ListLabel929">
    <w:name w:val="ListLabel 929"/>
    <w:qFormat/>
    <w:rPr>
      <w:rFonts w:cs="Wingdings"/>
    </w:rPr>
  </w:style>
  <w:style w:type="character" w:styleId="ListLabel930">
    <w:name w:val="ListLabel 930"/>
    <w:qFormat/>
    <w:rPr>
      <w:rFonts w:cs="Symbol"/>
    </w:rPr>
  </w:style>
  <w:style w:type="character" w:styleId="ListLabel931">
    <w:name w:val="ListLabel 931"/>
    <w:qFormat/>
    <w:rPr>
      <w:rFonts w:cs="Courier New"/>
    </w:rPr>
  </w:style>
  <w:style w:type="character" w:styleId="ListLabel932">
    <w:name w:val="ListLabel 932"/>
    <w:qFormat/>
    <w:rPr>
      <w:rFonts w:cs="Wingdings"/>
    </w:rPr>
  </w:style>
  <w:style w:type="character" w:styleId="ListLabel933">
    <w:name w:val="ListLabel 933"/>
    <w:qFormat/>
    <w:rPr>
      <w:rFonts w:cs="Symbol"/>
    </w:rPr>
  </w:style>
  <w:style w:type="character" w:styleId="ListLabel934">
    <w:name w:val="ListLabel 934"/>
    <w:qFormat/>
    <w:rPr>
      <w:rFonts w:cs="Courier New"/>
    </w:rPr>
  </w:style>
  <w:style w:type="character" w:styleId="ListLabel935">
    <w:name w:val="ListLabel 935"/>
    <w:qFormat/>
    <w:rPr>
      <w:rFonts w:cs="Wingdings"/>
    </w:rPr>
  </w:style>
  <w:style w:type="character" w:styleId="ListLabel936">
    <w:name w:val="ListLabel 936"/>
    <w:qFormat/>
    <w:rPr>
      <w:rFonts w:ascii="Arial" w:hAnsi="Arial" w:cs="Symbol"/>
    </w:rPr>
  </w:style>
  <w:style w:type="character" w:styleId="ListLabel937">
    <w:name w:val="ListLabel 937"/>
    <w:qFormat/>
    <w:rPr>
      <w:rFonts w:cs="Courier New"/>
    </w:rPr>
  </w:style>
  <w:style w:type="character" w:styleId="ListLabel938">
    <w:name w:val="ListLabel 938"/>
    <w:qFormat/>
    <w:rPr>
      <w:rFonts w:cs="Wingdings"/>
    </w:rPr>
  </w:style>
  <w:style w:type="character" w:styleId="ListLabel939">
    <w:name w:val="ListLabel 939"/>
    <w:qFormat/>
    <w:rPr>
      <w:rFonts w:cs="Symbol"/>
    </w:rPr>
  </w:style>
  <w:style w:type="character" w:styleId="ListLabel940">
    <w:name w:val="ListLabel 940"/>
    <w:qFormat/>
    <w:rPr>
      <w:rFonts w:cs="Courier New"/>
    </w:rPr>
  </w:style>
  <w:style w:type="character" w:styleId="ListLabel941">
    <w:name w:val="ListLabel 941"/>
    <w:qFormat/>
    <w:rPr>
      <w:rFonts w:cs="Wingdings"/>
    </w:rPr>
  </w:style>
  <w:style w:type="character" w:styleId="ListLabel942">
    <w:name w:val="ListLabel 942"/>
    <w:qFormat/>
    <w:rPr>
      <w:rFonts w:cs="Symbol"/>
    </w:rPr>
  </w:style>
  <w:style w:type="character" w:styleId="ListLabel943">
    <w:name w:val="ListLabel 943"/>
    <w:qFormat/>
    <w:rPr>
      <w:rFonts w:cs="Courier New"/>
    </w:rPr>
  </w:style>
  <w:style w:type="character" w:styleId="ListLabel944">
    <w:name w:val="ListLabel 944"/>
    <w:qFormat/>
    <w:rPr>
      <w:rFonts w:cs="Wingdings"/>
    </w:rPr>
  </w:style>
  <w:style w:type="character" w:styleId="ListLabel945">
    <w:name w:val="ListLabel 945"/>
    <w:qFormat/>
    <w:rPr>
      <w:rFonts w:ascii="Arial" w:hAnsi="Arial" w:cs="Symbol"/>
    </w:rPr>
  </w:style>
  <w:style w:type="character" w:styleId="ListLabel946">
    <w:name w:val="ListLabel 946"/>
    <w:qFormat/>
    <w:rPr>
      <w:rFonts w:cs="Courier New"/>
    </w:rPr>
  </w:style>
  <w:style w:type="character" w:styleId="ListLabel947">
    <w:name w:val="ListLabel 947"/>
    <w:qFormat/>
    <w:rPr>
      <w:rFonts w:cs="Wingdings"/>
    </w:rPr>
  </w:style>
  <w:style w:type="character" w:styleId="ListLabel948">
    <w:name w:val="ListLabel 948"/>
    <w:qFormat/>
    <w:rPr>
      <w:rFonts w:cs="Symbol"/>
    </w:rPr>
  </w:style>
  <w:style w:type="character" w:styleId="ListLabel949">
    <w:name w:val="ListLabel 949"/>
    <w:qFormat/>
    <w:rPr>
      <w:rFonts w:cs="Courier New"/>
    </w:rPr>
  </w:style>
  <w:style w:type="character" w:styleId="ListLabel950">
    <w:name w:val="ListLabel 950"/>
    <w:qFormat/>
    <w:rPr>
      <w:rFonts w:cs="Wingdings"/>
    </w:rPr>
  </w:style>
  <w:style w:type="character" w:styleId="ListLabel951">
    <w:name w:val="ListLabel 951"/>
    <w:qFormat/>
    <w:rPr>
      <w:rFonts w:cs="Symbol"/>
    </w:rPr>
  </w:style>
  <w:style w:type="character" w:styleId="ListLabel952">
    <w:name w:val="ListLabel 952"/>
    <w:qFormat/>
    <w:rPr>
      <w:rFonts w:cs="Courier New"/>
    </w:rPr>
  </w:style>
  <w:style w:type="character" w:styleId="ListLabel953">
    <w:name w:val="ListLabel 953"/>
    <w:qFormat/>
    <w:rPr>
      <w:rFonts w:cs="Wingdings"/>
    </w:rPr>
  </w:style>
  <w:style w:type="character" w:styleId="ListLabel954">
    <w:name w:val="ListLabel 954"/>
    <w:qFormat/>
    <w:rPr>
      <w:rFonts w:ascii="Arial" w:hAnsi="Arial" w:cs="Symbol"/>
    </w:rPr>
  </w:style>
  <w:style w:type="character" w:styleId="ListLabel955">
    <w:name w:val="ListLabel 955"/>
    <w:qFormat/>
    <w:rPr>
      <w:rFonts w:cs="Courier New"/>
    </w:rPr>
  </w:style>
  <w:style w:type="character" w:styleId="ListLabel956">
    <w:name w:val="ListLabel 956"/>
    <w:qFormat/>
    <w:rPr>
      <w:rFonts w:cs="Wingdings"/>
    </w:rPr>
  </w:style>
  <w:style w:type="character" w:styleId="ListLabel957">
    <w:name w:val="ListLabel 957"/>
    <w:qFormat/>
    <w:rPr>
      <w:rFonts w:cs="Symbol"/>
    </w:rPr>
  </w:style>
  <w:style w:type="character" w:styleId="ListLabel958">
    <w:name w:val="ListLabel 958"/>
    <w:qFormat/>
    <w:rPr>
      <w:rFonts w:cs="Courier New"/>
    </w:rPr>
  </w:style>
  <w:style w:type="character" w:styleId="ListLabel959">
    <w:name w:val="ListLabel 959"/>
    <w:qFormat/>
    <w:rPr>
      <w:rFonts w:cs="Wingdings"/>
    </w:rPr>
  </w:style>
  <w:style w:type="character" w:styleId="ListLabel960">
    <w:name w:val="ListLabel 960"/>
    <w:qFormat/>
    <w:rPr>
      <w:rFonts w:cs="Symbol"/>
    </w:rPr>
  </w:style>
  <w:style w:type="character" w:styleId="ListLabel961">
    <w:name w:val="ListLabel 961"/>
    <w:qFormat/>
    <w:rPr>
      <w:rFonts w:cs="Courier New"/>
    </w:rPr>
  </w:style>
  <w:style w:type="character" w:styleId="ListLabel962">
    <w:name w:val="ListLabel 962"/>
    <w:qFormat/>
    <w:rPr>
      <w:rFonts w:cs="Wingdings"/>
    </w:rPr>
  </w:style>
  <w:style w:type="character" w:styleId="ListLabel963">
    <w:name w:val="ListLabel 963"/>
    <w:qFormat/>
    <w:rPr>
      <w:rFonts w:ascii="Arial" w:hAnsi="Arial" w:cs="Symbol"/>
    </w:rPr>
  </w:style>
  <w:style w:type="character" w:styleId="ListLabel964">
    <w:name w:val="ListLabel 964"/>
    <w:qFormat/>
    <w:rPr>
      <w:rFonts w:cs="Courier New"/>
    </w:rPr>
  </w:style>
  <w:style w:type="character" w:styleId="ListLabel965">
    <w:name w:val="ListLabel 965"/>
    <w:qFormat/>
    <w:rPr>
      <w:rFonts w:cs="Wingdings"/>
    </w:rPr>
  </w:style>
  <w:style w:type="character" w:styleId="ListLabel966">
    <w:name w:val="ListLabel 966"/>
    <w:qFormat/>
    <w:rPr>
      <w:rFonts w:cs="Symbol"/>
    </w:rPr>
  </w:style>
  <w:style w:type="character" w:styleId="ListLabel967">
    <w:name w:val="ListLabel 967"/>
    <w:qFormat/>
    <w:rPr>
      <w:rFonts w:cs="Courier New"/>
    </w:rPr>
  </w:style>
  <w:style w:type="character" w:styleId="ListLabel968">
    <w:name w:val="ListLabel 968"/>
    <w:qFormat/>
    <w:rPr>
      <w:rFonts w:cs="Wingdings"/>
    </w:rPr>
  </w:style>
  <w:style w:type="character" w:styleId="ListLabel969">
    <w:name w:val="ListLabel 969"/>
    <w:qFormat/>
    <w:rPr>
      <w:rFonts w:cs="Symbol"/>
    </w:rPr>
  </w:style>
  <w:style w:type="character" w:styleId="ListLabel970">
    <w:name w:val="ListLabel 970"/>
    <w:qFormat/>
    <w:rPr>
      <w:rFonts w:cs="Courier New"/>
    </w:rPr>
  </w:style>
  <w:style w:type="character" w:styleId="ListLabel971">
    <w:name w:val="ListLabel 971"/>
    <w:qFormat/>
    <w:rPr>
      <w:rFonts w:cs="Wingdings"/>
    </w:rPr>
  </w:style>
  <w:style w:type="character" w:styleId="ListLabel972">
    <w:name w:val="ListLabel 972"/>
    <w:qFormat/>
    <w:rPr>
      <w:rFonts w:ascii="Arial" w:hAnsi="Arial" w:cs="Symbol"/>
    </w:rPr>
  </w:style>
  <w:style w:type="character" w:styleId="ListLabel973">
    <w:name w:val="ListLabel 973"/>
    <w:qFormat/>
    <w:rPr>
      <w:rFonts w:cs="Courier New"/>
    </w:rPr>
  </w:style>
  <w:style w:type="character" w:styleId="ListLabel974">
    <w:name w:val="ListLabel 974"/>
    <w:qFormat/>
    <w:rPr>
      <w:rFonts w:cs="Wingdings"/>
    </w:rPr>
  </w:style>
  <w:style w:type="character" w:styleId="ListLabel975">
    <w:name w:val="ListLabel 975"/>
    <w:qFormat/>
    <w:rPr>
      <w:rFonts w:cs="Symbol"/>
    </w:rPr>
  </w:style>
  <w:style w:type="character" w:styleId="ListLabel976">
    <w:name w:val="ListLabel 976"/>
    <w:qFormat/>
    <w:rPr>
      <w:rFonts w:cs="Courier New"/>
    </w:rPr>
  </w:style>
  <w:style w:type="character" w:styleId="ListLabel977">
    <w:name w:val="ListLabel 977"/>
    <w:qFormat/>
    <w:rPr>
      <w:rFonts w:cs="Wingdings"/>
    </w:rPr>
  </w:style>
  <w:style w:type="character" w:styleId="ListLabel978">
    <w:name w:val="ListLabel 978"/>
    <w:qFormat/>
    <w:rPr>
      <w:rFonts w:cs="Symbol"/>
    </w:rPr>
  </w:style>
  <w:style w:type="character" w:styleId="ListLabel979">
    <w:name w:val="ListLabel 979"/>
    <w:qFormat/>
    <w:rPr>
      <w:rFonts w:cs="Courier New"/>
    </w:rPr>
  </w:style>
  <w:style w:type="character" w:styleId="ListLabel980">
    <w:name w:val="ListLabel 980"/>
    <w:qFormat/>
    <w:rPr>
      <w:rFonts w:cs="Wingdings"/>
    </w:rPr>
  </w:style>
  <w:style w:type="character" w:styleId="ListLabel981">
    <w:name w:val="ListLabel 981"/>
    <w:qFormat/>
    <w:rPr>
      <w:rFonts w:ascii="Arial" w:hAnsi="Arial" w:cs="Symbol"/>
      <w:b/>
    </w:rPr>
  </w:style>
  <w:style w:type="character" w:styleId="ListLabel982">
    <w:name w:val="ListLabel 982"/>
    <w:qFormat/>
    <w:rPr>
      <w:rFonts w:cs="Courier New"/>
    </w:rPr>
  </w:style>
  <w:style w:type="character" w:styleId="ListLabel983">
    <w:name w:val="ListLabel 983"/>
    <w:qFormat/>
    <w:rPr>
      <w:rFonts w:cs="Wingdings"/>
    </w:rPr>
  </w:style>
  <w:style w:type="character" w:styleId="ListLabel984">
    <w:name w:val="ListLabel 984"/>
    <w:qFormat/>
    <w:rPr>
      <w:rFonts w:cs="Symbol"/>
    </w:rPr>
  </w:style>
  <w:style w:type="character" w:styleId="ListLabel985">
    <w:name w:val="ListLabel 985"/>
    <w:qFormat/>
    <w:rPr>
      <w:rFonts w:cs="Courier New"/>
    </w:rPr>
  </w:style>
  <w:style w:type="character" w:styleId="ListLabel986">
    <w:name w:val="ListLabel 986"/>
    <w:qFormat/>
    <w:rPr>
      <w:rFonts w:cs="Wingdings"/>
    </w:rPr>
  </w:style>
  <w:style w:type="character" w:styleId="ListLabel987">
    <w:name w:val="ListLabel 987"/>
    <w:qFormat/>
    <w:rPr>
      <w:rFonts w:cs="Symbol"/>
    </w:rPr>
  </w:style>
  <w:style w:type="character" w:styleId="ListLabel988">
    <w:name w:val="ListLabel 988"/>
    <w:qFormat/>
    <w:rPr>
      <w:rFonts w:cs="Courier New"/>
    </w:rPr>
  </w:style>
  <w:style w:type="character" w:styleId="ListLabel989">
    <w:name w:val="ListLabel 989"/>
    <w:qFormat/>
    <w:rPr>
      <w:rFonts w:cs="Wingdings"/>
    </w:rPr>
  </w:style>
  <w:style w:type="character" w:styleId="ListLabel990">
    <w:name w:val="ListLabel 990"/>
    <w:qFormat/>
    <w:rPr>
      <w:rFonts w:ascii="Arial" w:hAnsi="Arial" w:cs="Symbol"/>
    </w:rPr>
  </w:style>
  <w:style w:type="character" w:styleId="ListLabel991">
    <w:name w:val="ListLabel 991"/>
    <w:qFormat/>
    <w:rPr>
      <w:rFonts w:cs="Courier New"/>
    </w:rPr>
  </w:style>
  <w:style w:type="character" w:styleId="ListLabel992">
    <w:name w:val="ListLabel 992"/>
    <w:qFormat/>
    <w:rPr>
      <w:rFonts w:cs="Wingdings"/>
    </w:rPr>
  </w:style>
  <w:style w:type="character" w:styleId="ListLabel993">
    <w:name w:val="ListLabel 993"/>
    <w:qFormat/>
    <w:rPr>
      <w:rFonts w:cs="Symbol"/>
    </w:rPr>
  </w:style>
  <w:style w:type="character" w:styleId="ListLabel994">
    <w:name w:val="ListLabel 994"/>
    <w:qFormat/>
    <w:rPr>
      <w:rFonts w:cs="Courier New"/>
    </w:rPr>
  </w:style>
  <w:style w:type="character" w:styleId="ListLabel995">
    <w:name w:val="ListLabel 995"/>
    <w:qFormat/>
    <w:rPr>
      <w:rFonts w:cs="Wingdings"/>
    </w:rPr>
  </w:style>
  <w:style w:type="character" w:styleId="ListLabel996">
    <w:name w:val="ListLabel 996"/>
    <w:qFormat/>
    <w:rPr>
      <w:rFonts w:cs="Symbol"/>
    </w:rPr>
  </w:style>
  <w:style w:type="character" w:styleId="ListLabel997">
    <w:name w:val="ListLabel 997"/>
    <w:qFormat/>
    <w:rPr>
      <w:rFonts w:cs="Courier New"/>
    </w:rPr>
  </w:style>
  <w:style w:type="character" w:styleId="ListLabel998">
    <w:name w:val="ListLabel 998"/>
    <w:qFormat/>
    <w:rPr>
      <w:rFonts w:cs="Wingdings"/>
    </w:rPr>
  </w:style>
  <w:style w:type="character" w:styleId="ListLabel999">
    <w:name w:val="ListLabel 999"/>
    <w:qFormat/>
    <w:rPr>
      <w:rFonts w:ascii="Arial" w:hAnsi="Arial" w:cs="Arial"/>
    </w:rPr>
  </w:style>
  <w:style w:type="character" w:styleId="ListLabel1000">
    <w:name w:val="ListLabel 1000"/>
    <w:qFormat/>
    <w:rPr>
      <w:rFonts w:ascii="Arial" w:hAnsi="Arial" w:cs="Arial"/>
    </w:rPr>
  </w:style>
  <w:style w:type="character" w:styleId="ListLabel1001">
    <w:name w:val="ListLabel 1001"/>
    <w:qFormat/>
    <w:rPr>
      <w:rFonts w:ascii="Arial" w:hAnsi="Arial" w:cs="Symbol"/>
    </w:rPr>
  </w:style>
  <w:style w:type="character" w:styleId="ListLabel1002">
    <w:name w:val="ListLabel 1002"/>
    <w:qFormat/>
    <w:rPr>
      <w:rFonts w:cs="Courier New"/>
    </w:rPr>
  </w:style>
  <w:style w:type="character" w:styleId="ListLabel1003">
    <w:name w:val="ListLabel 1003"/>
    <w:qFormat/>
    <w:rPr>
      <w:rFonts w:cs="Wingdings"/>
    </w:rPr>
  </w:style>
  <w:style w:type="character" w:styleId="ListLabel1004">
    <w:name w:val="ListLabel 1004"/>
    <w:qFormat/>
    <w:rPr>
      <w:rFonts w:cs="Symbol"/>
    </w:rPr>
  </w:style>
  <w:style w:type="character" w:styleId="ListLabel1005">
    <w:name w:val="ListLabel 1005"/>
    <w:qFormat/>
    <w:rPr>
      <w:rFonts w:cs="Courier New"/>
    </w:rPr>
  </w:style>
  <w:style w:type="character" w:styleId="ListLabel1006">
    <w:name w:val="ListLabel 1006"/>
    <w:qFormat/>
    <w:rPr>
      <w:rFonts w:cs="Wingdings"/>
    </w:rPr>
  </w:style>
  <w:style w:type="character" w:styleId="ListLabel1007">
    <w:name w:val="ListLabel 1007"/>
    <w:qFormat/>
    <w:rPr>
      <w:rFonts w:cs="Symbol"/>
    </w:rPr>
  </w:style>
  <w:style w:type="character" w:styleId="ListLabel1008">
    <w:name w:val="ListLabel 1008"/>
    <w:qFormat/>
    <w:rPr>
      <w:rFonts w:cs="Courier New"/>
    </w:rPr>
  </w:style>
  <w:style w:type="character" w:styleId="ListLabel1009">
    <w:name w:val="ListLabel 1009"/>
    <w:qFormat/>
    <w:rPr>
      <w:rFonts w:cs="Wingdings"/>
    </w:rPr>
  </w:style>
  <w:style w:type="character" w:styleId="ListLabel1010">
    <w:name w:val="ListLabel 1010"/>
    <w:qFormat/>
    <w:rPr>
      <w:rFonts w:ascii="Arial" w:hAnsi="Arial" w:cs="Wingdings"/>
    </w:rPr>
  </w:style>
  <w:style w:type="character" w:styleId="ListLabel1011">
    <w:name w:val="ListLabel 1011"/>
    <w:qFormat/>
    <w:rPr>
      <w:rFonts w:cs="Courier New"/>
    </w:rPr>
  </w:style>
  <w:style w:type="character" w:styleId="ListLabel1012">
    <w:name w:val="ListLabel 1012"/>
    <w:qFormat/>
    <w:rPr>
      <w:rFonts w:cs="Wingdings"/>
    </w:rPr>
  </w:style>
  <w:style w:type="character" w:styleId="ListLabel1013">
    <w:name w:val="ListLabel 1013"/>
    <w:qFormat/>
    <w:rPr>
      <w:rFonts w:cs="Symbol"/>
    </w:rPr>
  </w:style>
  <w:style w:type="character" w:styleId="ListLabel1014">
    <w:name w:val="ListLabel 1014"/>
    <w:qFormat/>
    <w:rPr>
      <w:rFonts w:cs="Courier New"/>
    </w:rPr>
  </w:style>
  <w:style w:type="character" w:styleId="ListLabel1015">
    <w:name w:val="ListLabel 1015"/>
    <w:qFormat/>
    <w:rPr>
      <w:rFonts w:cs="Wingdings"/>
    </w:rPr>
  </w:style>
  <w:style w:type="character" w:styleId="ListLabel1016">
    <w:name w:val="ListLabel 1016"/>
    <w:qFormat/>
    <w:rPr>
      <w:rFonts w:cs="Symbol"/>
    </w:rPr>
  </w:style>
  <w:style w:type="character" w:styleId="ListLabel1017">
    <w:name w:val="ListLabel 1017"/>
    <w:qFormat/>
    <w:rPr>
      <w:rFonts w:cs="Courier New"/>
    </w:rPr>
  </w:style>
  <w:style w:type="character" w:styleId="ListLabel1018">
    <w:name w:val="ListLabel 1018"/>
    <w:qFormat/>
    <w:rPr>
      <w:rFonts w:cs="Wingdings"/>
    </w:rPr>
  </w:style>
  <w:style w:type="character" w:styleId="ListLabel1019">
    <w:name w:val="ListLabel 1019"/>
    <w:qFormat/>
    <w:rPr>
      <w:rFonts w:ascii="Arial" w:hAnsi="Arial" w:cs="Symbol"/>
    </w:rPr>
  </w:style>
  <w:style w:type="character" w:styleId="ListLabel1020">
    <w:name w:val="ListLabel 1020"/>
    <w:qFormat/>
    <w:rPr>
      <w:rFonts w:cs="Arial"/>
    </w:rPr>
  </w:style>
  <w:style w:type="character" w:styleId="ListLabel1021">
    <w:name w:val="ListLabel 1021"/>
    <w:qFormat/>
    <w:rPr>
      <w:rFonts w:cs="Wingdings"/>
    </w:rPr>
  </w:style>
  <w:style w:type="character" w:styleId="ListLabel1022">
    <w:name w:val="ListLabel 1022"/>
    <w:qFormat/>
    <w:rPr>
      <w:rFonts w:cs="Symbol"/>
    </w:rPr>
  </w:style>
  <w:style w:type="character" w:styleId="ListLabel1023">
    <w:name w:val="ListLabel 1023"/>
    <w:qFormat/>
    <w:rPr>
      <w:rFonts w:cs="Courier New"/>
    </w:rPr>
  </w:style>
  <w:style w:type="character" w:styleId="ListLabel1024">
    <w:name w:val="ListLabel 1024"/>
    <w:qFormat/>
    <w:rPr>
      <w:rFonts w:cs="Wingdings"/>
    </w:rPr>
  </w:style>
  <w:style w:type="character" w:styleId="ListLabel1025">
    <w:name w:val="ListLabel 1025"/>
    <w:qFormat/>
    <w:rPr>
      <w:rFonts w:cs="Symbol"/>
    </w:rPr>
  </w:style>
  <w:style w:type="character" w:styleId="ListLabel1026">
    <w:name w:val="ListLabel 1026"/>
    <w:qFormat/>
    <w:rPr>
      <w:rFonts w:cs="Courier New"/>
    </w:rPr>
  </w:style>
  <w:style w:type="character" w:styleId="ListLabel1027">
    <w:name w:val="ListLabel 1027"/>
    <w:qFormat/>
    <w:rPr>
      <w:rFonts w:cs="Wingdings"/>
    </w:rPr>
  </w:style>
  <w:style w:type="character" w:styleId="ListLabel1028">
    <w:name w:val="ListLabel 1028"/>
    <w:qFormat/>
    <w:rPr>
      <w:rFonts w:ascii="Arial" w:hAnsi="Arial" w:cs="Wingdings"/>
    </w:rPr>
  </w:style>
  <w:style w:type="character" w:styleId="ListLabel1029">
    <w:name w:val="ListLabel 1029"/>
    <w:qFormat/>
    <w:rPr>
      <w:rFonts w:cs="Courier New"/>
    </w:rPr>
  </w:style>
  <w:style w:type="character" w:styleId="ListLabel1030">
    <w:name w:val="ListLabel 1030"/>
    <w:qFormat/>
    <w:rPr>
      <w:rFonts w:cs="Wingdings"/>
    </w:rPr>
  </w:style>
  <w:style w:type="character" w:styleId="ListLabel1031">
    <w:name w:val="ListLabel 1031"/>
    <w:qFormat/>
    <w:rPr>
      <w:rFonts w:cs="Symbol"/>
    </w:rPr>
  </w:style>
  <w:style w:type="character" w:styleId="ListLabel1032">
    <w:name w:val="ListLabel 1032"/>
    <w:qFormat/>
    <w:rPr>
      <w:rFonts w:cs="Courier New"/>
    </w:rPr>
  </w:style>
  <w:style w:type="character" w:styleId="ListLabel1033">
    <w:name w:val="ListLabel 1033"/>
    <w:qFormat/>
    <w:rPr>
      <w:rFonts w:cs="Wingdings"/>
    </w:rPr>
  </w:style>
  <w:style w:type="character" w:styleId="ListLabel1034">
    <w:name w:val="ListLabel 1034"/>
    <w:qFormat/>
    <w:rPr>
      <w:rFonts w:cs="Symbol"/>
    </w:rPr>
  </w:style>
  <w:style w:type="character" w:styleId="ListLabel1035">
    <w:name w:val="ListLabel 1035"/>
    <w:qFormat/>
    <w:rPr>
      <w:rFonts w:cs="Courier New"/>
    </w:rPr>
  </w:style>
  <w:style w:type="character" w:styleId="ListLabel1036">
    <w:name w:val="ListLabel 1036"/>
    <w:qFormat/>
    <w:rPr>
      <w:rFonts w:cs="Wingdings"/>
    </w:rPr>
  </w:style>
  <w:style w:type="character" w:styleId="ListLabel1037">
    <w:name w:val="ListLabel 1037"/>
    <w:qFormat/>
    <w:rPr>
      <w:rFonts w:ascii="Arial" w:hAnsi="Arial" w:cs="Arial"/>
    </w:rPr>
  </w:style>
  <w:style w:type="character" w:styleId="ListLabel1038">
    <w:name w:val="ListLabel 1038"/>
    <w:qFormat/>
    <w:rPr>
      <w:rFonts w:ascii="Arial" w:hAnsi="Arial" w:cs="Times New Roman"/>
    </w:rPr>
  </w:style>
  <w:style w:type="character" w:styleId="ListLabel1039">
    <w:name w:val="ListLabel 1039"/>
    <w:qFormat/>
    <w:rPr>
      <w:rFonts w:ascii="Arial" w:hAnsi="Arial" w:cs="Arial"/>
      <w:sz w:val="22"/>
    </w:rPr>
  </w:style>
  <w:style w:type="character" w:styleId="ListLabel1040">
    <w:name w:val="ListLabel 1040"/>
    <w:qFormat/>
    <w:rPr>
      <w:rFonts w:ascii="Arial" w:hAnsi="Arial" w:cs="Arial"/>
      <w:sz w:val="22"/>
    </w:rPr>
  </w:style>
  <w:style w:type="character" w:styleId="ListLabel1041">
    <w:name w:val="ListLabel 1041"/>
    <w:qFormat/>
    <w:rPr>
      <w:rFonts w:ascii="Arial" w:hAnsi="Arial" w:cs="Symbol"/>
    </w:rPr>
  </w:style>
  <w:style w:type="character" w:styleId="ListLabel1042">
    <w:name w:val="ListLabel 1042"/>
    <w:qFormat/>
    <w:rPr>
      <w:rFonts w:cs="Courier New"/>
    </w:rPr>
  </w:style>
  <w:style w:type="character" w:styleId="ListLabel1043">
    <w:name w:val="ListLabel 1043"/>
    <w:qFormat/>
    <w:rPr>
      <w:rFonts w:cs="Wingdings"/>
    </w:rPr>
  </w:style>
  <w:style w:type="character" w:styleId="ListLabel1044">
    <w:name w:val="ListLabel 1044"/>
    <w:qFormat/>
    <w:rPr>
      <w:rFonts w:cs="Symbol"/>
    </w:rPr>
  </w:style>
  <w:style w:type="character" w:styleId="ListLabel1045">
    <w:name w:val="ListLabel 1045"/>
    <w:qFormat/>
    <w:rPr>
      <w:rFonts w:cs="Courier New"/>
    </w:rPr>
  </w:style>
  <w:style w:type="character" w:styleId="ListLabel1046">
    <w:name w:val="ListLabel 1046"/>
    <w:qFormat/>
    <w:rPr>
      <w:rFonts w:cs="Wingdings"/>
    </w:rPr>
  </w:style>
  <w:style w:type="character" w:styleId="ListLabel1047">
    <w:name w:val="ListLabel 1047"/>
    <w:qFormat/>
    <w:rPr>
      <w:rFonts w:cs="Symbol"/>
    </w:rPr>
  </w:style>
  <w:style w:type="character" w:styleId="ListLabel1048">
    <w:name w:val="ListLabel 1048"/>
    <w:qFormat/>
    <w:rPr>
      <w:rFonts w:cs="Courier New"/>
    </w:rPr>
  </w:style>
  <w:style w:type="character" w:styleId="ListLabel1049">
    <w:name w:val="ListLabel 1049"/>
    <w:qFormat/>
    <w:rPr>
      <w:rFonts w:cs="Wingdings"/>
    </w:rPr>
  </w:style>
  <w:style w:type="character" w:styleId="ListLabel1050">
    <w:name w:val="ListLabel 1050"/>
    <w:qFormat/>
    <w:rPr>
      <w:rFonts w:ascii="Arial" w:hAnsi="Arial" w:cs="Symbol"/>
    </w:rPr>
  </w:style>
  <w:style w:type="character" w:styleId="ListLabel1051">
    <w:name w:val="ListLabel 1051"/>
    <w:qFormat/>
    <w:rPr>
      <w:rFonts w:cs="Courier New"/>
    </w:rPr>
  </w:style>
  <w:style w:type="character" w:styleId="ListLabel1052">
    <w:name w:val="ListLabel 1052"/>
    <w:qFormat/>
    <w:rPr>
      <w:rFonts w:cs="Wingdings"/>
    </w:rPr>
  </w:style>
  <w:style w:type="character" w:styleId="ListLabel1053">
    <w:name w:val="ListLabel 1053"/>
    <w:qFormat/>
    <w:rPr>
      <w:rFonts w:cs="Symbol"/>
    </w:rPr>
  </w:style>
  <w:style w:type="character" w:styleId="ListLabel1054">
    <w:name w:val="ListLabel 1054"/>
    <w:qFormat/>
    <w:rPr>
      <w:rFonts w:cs="Courier New"/>
    </w:rPr>
  </w:style>
  <w:style w:type="character" w:styleId="ListLabel1055">
    <w:name w:val="ListLabel 1055"/>
    <w:qFormat/>
    <w:rPr>
      <w:rFonts w:cs="Wingdings"/>
    </w:rPr>
  </w:style>
  <w:style w:type="character" w:styleId="ListLabel1056">
    <w:name w:val="ListLabel 1056"/>
    <w:qFormat/>
    <w:rPr>
      <w:rFonts w:cs="Symbol"/>
    </w:rPr>
  </w:style>
  <w:style w:type="character" w:styleId="ListLabel1057">
    <w:name w:val="ListLabel 1057"/>
    <w:qFormat/>
    <w:rPr>
      <w:rFonts w:cs="Courier New"/>
    </w:rPr>
  </w:style>
  <w:style w:type="character" w:styleId="ListLabel1058">
    <w:name w:val="ListLabel 1058"/>
    <w:qFormat/>
    <w:rPr>
      <w:rFonts w:cs="Wingdings"/>
    </w:rPr>
  </w:style>
  <w:style w:type="character" w:styleId="ListLabel1059">
    <w:name w:val="ListLabel 1059"/>
    <w:qFormat/>
    <w:rPr>
      <w:rFonts w:ascii="Arial" w:hAnsi="Arial" w:cs="Symbol"/>
    </w:rPr>
  </w:style>
  <w:style w:type="character" w:styleId="ListLabel1060">
    <w:name w:val="ListLabel 1060"/>
    <w:qFormat/>
    <w:rPr>
      <w:rFonts w:cs="Courier New"/>
    </w:rPr>
  </w:style>
  <w:style w:type="character" w:styleId="ListLabel1061">
    <w:name w:val="ListLabel 1061"/>
    <w:qFormat/>
    <w:rPr>
      <w:rFonts w:cs="Wingdings"/>
    </w:rPr>
  </w:style>
  <w:style w:type="character" w:styleId="ListLabel1062">
    <w:name w:val="ListLabel 1062"/>
    <w:qFormat/>
    <w:rPr>
      <w:rFonts w:cs="Symbol"/>
    </w:rPr>
  </w:style>
  <w:style w:type="character" w:styleId="ListLabel1063">
    <w:name w:val="ListLabel 1063"/>
    <w:qFormat/>
    <w:rPr>
      <w:rFonts w:cs="Courier New"/>
    </w:rPr>
  </w:style>
  <w:style w:type="character" w:styleId="ListLabel1064">
    <w:name w:val="ListLabel 1064"/>
    <w:qFormat/>
    <w:rPr>
      <w:rFonts w:cs="Wingdings"/>
    </w:rPr>
  </w:style>
  <w:style w:type="character" w:styleId="ListLabel1065">
    <w:name w:val="ListLabel 1065"/>
    <w:qFormat/>
    <w:rPr>
      <w:rFonts w:cs="Symbol"/>
    </w:rPr>
  </w:style>
  <w:style w:type="character" w:styleId="ListLabel1066">
    <w:name w:val="ListLabel 1066"/>
    <w:qFormat/>
    <w:rPr>
      <w:rFonts w:cs="Courier New"/>
    </w:rPr>
  </w:style>
  <w:style w:type="character" w:styleId="ListLabel1067">
    <w:name w:val="ListLabel 1067"/>
    <w:qFormat/>
    <w:rPr>
      <w:rFonts w:cs="Wingdings"/>
    </w:rPr>
  </w:style>
  <w:style w:type="character" w:styleId="ListLabel1068">
    <w:name w:val="ListLabel 1068"/>
    <w:qFormat/>
    <w:rPr>
      <w:rFonts w:ascii="Arial" w:hAnsi="Arial" w:cs="Symbol"/>
      <w:b w:val="false"/>
    </w:rPr>
  </w:style>
  <w:style w:type="character" w:styleId="ListLabel1069">
    <w:name w:val="ListLabel 1069"/>
    <w:qFormat/>
    <w:rPr>
      <w:rFonts w:cs="Courier New"/>
    </w:rPr>
  </w:style>
  <w:style w:type="character" w:styleId="ListLabel1070">
    <w:name w:val="ListLabel 1070"/>
    <w:qFormat/>
    <w:rPr>
      <w:rFonts w:cs="Wingdings"/>
    </w:rPr>
  </w:style>
  <w:style w:type="character" w:styleId="ListLabel1071">
    <w:name w:val="ListLabel 1071"/>
    <w:qFormat/>
    <w:rPr>
      <w:rFonts w:cs="Symbol"/>
    </w:rPr>
  </w:style>
  <w:style w:type="character" w:styleId="ListLabel1072">
    <w:name w:val="ListLabel 1072"/>
    <w:qFormat/>
    <w:rPr>
      <w:rFonts w:cs="Courier New"/>
    </w:rPr>
  </w:style>
  <w:style w:type="character" w:styleId="ListLabel1073">
    <w:name w:val="ListLabel 1073"/>
    <w:qFormat/>
    <w:rPr>
      <w:rFonts w:cs="Wingdings"/>
    </w:rPr>
  </w:style>
  <w:style w:type="character" w:styleId="ListLabel1074">
    <w:name w:val="ListLabel 1074"/>
    <w:qFormat/>
    <w:rPr>
      <w:rFonts w:cs="Symbol"/>
    </w:rPr>
  </w:style>
  <w:style w:type="character" w:styleId="ListLabel1075">
    <w:name w:val="ListLabel 1075"/>
    <w:qFormat/>
    <w:rPr>
      <w:rFonts w:cs="Courier New"/>
    </w:rPr>
  </w:style>
  <w:style w:type="character" w:styleId="ListLabel1076">
    <w:name w:val="ListLabel 1076"/>
    <w:qFormat/>
    <w:rPr>
      <w:rFonts w:cs="Wingdings"/>
    </w:rPr>
  </w:style>
  <w:style w:type="character" w:styleId="ListLabel1077">
    <w:name w:val="ListLabel 1077"/>
    <w:qFormat/>
    <w:rPr>
      <w:rFonts w:ascii="Arial" w:hAnsi="Arial" w:cs="Symbol"/>
    </w:rPr>
  </w:style>
  <w:style w:type="character" w:styleId="ListLabel1078">
    <w:name w:val="ListLabel 1078"/>
    <w:qFormat/>
    <w:rPr>
      <w:rFonts w:cs="Courier New"/>
    </w:rPr>
  </w:style>
  <w:style w:type="character" w:styleId="ListLabel1079">
    <w:name w:val="ListLabel 1079"/>
    <w:qFormat/>
    <w:rPr>
      <w:rFonts w:cs="Wingdings"/>
    </w:rPr>
  </w:style>
  <w:style w:type="character" w:styleId="ListLabel1080">
    <w:name w:val="ListLabel 1080"/>
    <w:qFormat/>
    <w:rPr>
      <w:rFonts w:cs="Symbol"/>
    </w:rPr>
  </w:style>
  <w:style w:type="character" w:styleId="ListLabel1081">
    <w:name w:val="ListLabel 1081"/>
    <w:qFormat/>
    <w:rPr>
      <w:rFonts w:cs="Courier New"/>
    </w:rPr>
  </w:style>
  <w:style w:type="character" w:styleId="ListLabel1082">
    <w:name w:val="ListLabel 1082"/>
    <w:qFormat/>
    <w:rPr>
      <w:rFonts w:cs="Wingdings"/>
    </w:rPr>
  </w:style>
  <w:style w:type="character" w:styleId="ListLabel1083">
    <w:name w:val="ListLabel 1083"/>
    <w:qFormat/>
    <w:rPr>
      <w:rFonts w:cs="Symbol"/>
    </w:rPr>
  </w:style>
  <w:style w:type="character" w:styleId="ListLabel1084">
    <w:name w:val="ListLabel 1084"/>
    <w:qFormat/>
    <w:rPr>
      <w:rFonts w:cs="Courier New"/>
    </w:rPr>
  </w:style>
  <w:style w:type="character" w:styleId="ListLabel1085">
    <w:name w:val="ListLabel 1085"/>
    <w:qFormat/>
    <w:rPr>
      <w:rFonts w:cs="Wingdings"/>
    </w:rPr>
  </w:style>
  <w:style w:type="character" w:styleId="ListLabel1086">
    <w:name w:val="ListLabel 1086"/>
    <w:qFormat/>
    <w:rPr>
      <w:rFonts w:ascii="Arial" w:hAnsi="Arial" w:cs="Symbol"/>
    </w:rPr>
  </w:style>
  <w:style w:type="character" w:styleId="ListLabel1087">
    <w:name w:val="ListLabel 1087"/>
    <w:qFormat/>
    <w:rPr>
      <w:rFonts w:cs="Courier New"/>
    </w:rPr>
  </w:style>
  <w:style w:type="character" w:styleId="ListLabel1088">
    <w:name w:val="ListLabel 1088"/>
    <w:qFormat/>
    <w:rPr>
      <w:rFonts w:cs="Wingdings"/>
    </w:rPr>
  </w:style>
  <w:style w:type="character" w:styleId="ListLabel1089">
    <w:name w:val="ListLabel 1089"/>
    <w:qFormat/>
    <w:rPr>
      <w:rFonts w:cs="Symbol"/>
    </w:rPr>
  </w:style>
  <w:style w:type="character" w:styleId="ListLabel1090">
    <w:name w:val="ListLabel 1090"/>
    <w:qFormat/>
    <w:rPr>
      <w:rFonts w:cs="Courier New"/>
    </w:rPr>
  </w:style>
  <w:style w:type="character" w:styleId="ListLabel1091">
    <w:name w:val="ListLabel 1091"/>
    <w:qFormat/>
    <w:rPr>
      <w:rFonts w:cs="Wingdings"/>
    </w:rPr>
  </w:style>
  <w:style w:type="character" w:styleId="ListLabel1092">
    <w:name w:val="ListLabel 1092"/>
    <w:qFormat/>
    <w:rPr>
      <w:rFonts w:cs="Symbol"/>
    </w:rPr>
  </w:style>
  <w:style w:type="character" w:styleId="ListLabel1093">
    <w:name w:val="ListLabel 1093"/>
    <w:qFormat/>
    <w:rPr>
      <w:rFonts w:cs="Courier New"/>
    </w:rPr>
  </w:style>
  <w:style w:type="character" w:styleId="ListLabel1094">
    <w:name w:val="ListLabel 1094"/>
    <w:qFormat/>
    <w:rPr>
      <w:rFonts w:cs="Wingdings"/>
    </w:rPr>
  </w:style>
  <w:style w:type="character" w:styleId="ListLabel1095">
    <w:name w:val="ListLabel 1095"/>
    <w:qFormat/>
    <w:rPr>
      <w:rFonts w:ascii="Arial" w:hAnsi="Arial" w:cs="Wingdings"/>
    </w:rPr>
  </w:style>
  <w:style w:type="character" w:styleId="ListLabel1096">
    <w:name w:val="ListLabel 1096"/>
    <w:qFormat/>
    <w:rPr>
      <w:rFonts w:cs="Courier New"/>
    </w:rPr>
  </w:style>
  <w:style w:type="character" w:styleId="ListLabel1097">
    <w:name w:val="ListLabel 1097"/>
    <w:qFormat/>
    <w:rPr>
      <w:rFonts w:cs="Wingdings"/>
    </w:rPr>
  </w:style>
  <w:style w:type="character" w:styleId="ListLabel1098">
    <w:name w:val="ListLabel 1098"/>
    <w:qFormat/>
    <w:rPr>
      <w:rFonts w:cs="Symbol"/>
    </w:rPr>
  </w:style>
  <w:style w:type="character" w:styleId="ListLabel1099">
    <w:name w:val="ListLabel 1099"/>
    <w:qFormat/>
    <w:rPr>
      <w:rFonts w:cs="Courier New"/>
    </w:rPr>
  </w:style>
  <w:style w:type="character" w:styleId="ListLabel1100">
    <w:name w:val="ListLabel 1100"/>
    <w:qFormat/>
    <w:rPr>
      <w:rFonts w:cs="Wingdings"/>
    </w:rPr>
  </w:style>
  <w:style w:type="character" w:styleId="ListLabel1101">
    <w:name w:val="ListLabel 1101"/>
    <w:qFormat/>
    <w:rPr>
      <w:rFonts w:cs="Symbol"/>
    </w:rPr>
  </w:style>
  <w:style w:type="character" w:styleId="ListLabel1102">
    <w:name w:val="ListLabel 1102"/>
    <w:qFormat/>
    <w:rPr>
      <w:rFonts w:cs="Courier New"/>
    </w:rPr>
  </w:style>
  <w:style w:type="character" w:styleId="ListLabel1103">
    <w:name w:val="ListLabel 1103"/>
    <w:qFormat/>
    <w:rPr>
      <w:rFonts w:cs="Wingdings"/>
    </w:rPr>
  </w:style>
  <w:style w:type="character" w:styleId="ListLabel1104">
    <w:name w:val="ListLabel 1104"/>
    <w:qFormat/>
    <w:rPr>
      <w:rFonts w:ascii="Arial" w:hAnsi="Arial" w:cs="Symbol"/>
    </w:rPr>
  </w:style>
  <w:style w:type="character" w:styleId="ListLabel1105">
    <w:name w:val="ListLabel 1105"/>
    <w:qFormat/>
    <w:rPr>
      <w:rFonts w:cs="Courier New"/>
    </w:rPr>
  </w:style>
  <w:style w:type="character" w:styleId="ListLabel1106">
    <w:name w:val="ListLabel 1106"/>
    <w:qFormat/>
    <w:rPr>
      <w:rFonts w:cs="Wingdings"/>
    </w:rPr>
  </w:style>
  <w:style w:type="character" w:styleId="ListLabel1107">
    <w:name w:val="ListLabel 1107"/>
    <w:qFormat/>
    <w:rPr>
      <w:rFonts w:cs="Symbol"/>
    </w:rPr>
  </w:style>
  <w:style w:type="character" w:styleId="ListLabel1108">
    <w:name w:val="ListLabel 1108"/>
    <w:qFormat/>
    <w:rPr>
      <w:rFonts w:cs="Courier New"/>
    </w:rPr>
  </w:style>
  <w:style w:type="character" w:styleId="ListLabel1109">
    <w:name w:val="ListLabel 1109"/>
    <w:qFormat/>
    <w:rPr>
      <w:rFonts w:cs="Wingdings"/>
    </w:rPr>
  </w:style>
  <w:style w:type="character" w:styleId="ListLabel1110">
    <w:name w:val="ListLabel 1110"/>
    <w:qFormat/>
    <w:rPr>
      <w:rFonts w:cs="Symbol"/>
    </w:rPr>
  </w:style>
  <w:style w:type="character" w:styleId="ListLabel1111">
    <w:name w:val="ListLabel 1111"/>
    <w:qFormat/>
    <w:rPr>
      <w:rFonts w:cs="Courier New"/>
    </w:rPr>
  </w:style>
  <w:style w:type="character" w:styleId="ListLabel1112">
    <w:name w:val="ListLabel 1112"/>
    <w:qFormat/>
    <w:rPr>
      <w:rFonts w:cs="Wingdings"/>
    </w:rPr>
  </w:style>
  <w:style w:type="character" w:styleId="ListLabel1113">
    <w:name w:val="ListLabel 1113"/>
    <w:qFormat/>
    <w:rPr>
      <w:rFonts w:ascii="Arial" w:hAnsi="Arial" w:cs="Wingdings"/>
    </w:rPr>
  </w:style>
  <w:style w:type="character" w:styleId="ListLabel1114">
    <w:name w:val="ListLabel 1114"/>
    <w:qFormat/>
    <w:rPr>
      <w:rFonts w:cs="Courier New"/>
    </w:rPr>
  </w:style>
  <w:style w:type="character" w:styleId="ListLabel1115">
    <w:name w:val="ListLabel 1115"/>
    <w:qFormat/>
    <w:rPr>
      <w:rFonts w:cs="Wingdings"/>
    </w:rPr>
  </w:style>
  <w:style w:type="character" w:styleId="ListLabel1116">
    <w:name w:val="ListLabel 1116"/>
    <w:qFormat/>
    <w:rPr>
      <w:rFonts w:cs="Symbol"/>
    </w:rPr>
  </w:style>
  <w:style w:type="character" w:styleId="ListLabel1117">
    <w:name w:val="ListLabel 1117"/>
    <w:qFormat/>
    <w:rPr>
      <w:rFonts w:cs="Courier New"/>
    </w:rPr>
  </w:style>
  <w:style w:type="character" w:styleId="ListLabel1118">
    <w:name w:val="ListLabel 1118"/>
    <w:qFormat/>
    <w:rPr>
      <w:rFonts w:cs="Wingdings"/>
    </w:rPr>
  </w:style>
  <w:style w:type="character" w:styleId="ListLabel1119">
    <w:name w:val="ListLabel 1119"/>
    <w:qFormat/>
    <w:rPr>
      <w:rFonts w:cs="Symbol"/>
    </w:rPr>
  </w:style>
  <w:style w:type="character" w:styleId="ListLabel1120">
    <w:name w:val="ListLabel 1120"/>
    <w:qFormat/>
    <w:rPr>
      <w:rFonts w:cs="Courier New"/>
    </w:rPr>
  </w:style>
  <w:style w:type="character" w:styleId="ListLabel1121">
    <w:name w:val="ListLabel 1121"/>
    <w:qFormat/>
    <w:rPr>
      <w:rFonts w:cs="Wingdings"/>
    </w:rPr>
  </w:style>
  <w:style w:type="character" w:styleId="ListLabel1122">
    <w:name w:val="ListLabel 1122"/>
    <w:qFormat/>
    <w:rPr>
      <w:rFonts w:ascii="Arial" w:hAnsi="Arial" w:cs="Symbol"/>
    </w:rPr>
  </w:style>
  <w:style w:type="character" w:styleId="ListLabel1123">
    <w:name w:val="ListLabel 1123"/>
    <w:qFormat/>
    <w:rPr>
      <w:rFonts w:cs="Courier New"/>
    </w:rPr>
  </w:style>
  <w:style w:type="character" w:styleId="ListLabel1124">
    <w:name w:val="ListLabel 1124"/>
    <w:qFormat/>
    <w:rPr>
      <w:rFonts w:cs="Wingdings"/>
    </w:rPr>
  </w:style>
  <w:style w:type="character" w:styleId="ListLabel1125">
    <w:name w:val="ListLabel 1125"/>
    <w:qFormat/>
    <w:rPr>
      <w:rFonts w:cs="Symbol"/>
    </w:rPr>
  </w:style>
  <w:style w:type="character" w:styleId="ListLabel1126">
    <w:name w:val="ListLabel 1126"/>
    <w:qFormat/>
    <w:rPr>
      <w:rFonts w:cs="Courier New"/>
    </w:rPr>
  </w:style>
  <w:style w:type="character" w:styleId="ListLabel1127">
    <w:name w:val="ListLabel 1127"/>
    <w:qFormat/>
    <w:rPr>
      <w:rFonts w:cs="Wingdings"/>
    </w:rPr>
  </w:style>
  <w:style w:type="character" w:styleId="ListLabel1128">
    <w:name w:val="ListLabel 1128"/>
    <w:qFormat/>
    <w:rPr>
      <w:rFonts w:cs="Symbol"/>
    </w:rPr>
  </w:style>
  <w:style w:type="character" w:styleId="ListLabel1129">
    <w:name w:val="ListLabel 1129"/>
    <w:qFormat/>
    <w:rPr>
      <w:rFonts w:cs="Courier New"/>
    </w:rPr>
  </w:style>
  <w:style w:type="character" w:styleId="ListLabel1130">
    <w:name w:val="ListLabel 1130"/>
    <w:qFormat/>
    <w:rPr>
      <w:rFonts w:cs="Wingdings"/>
    </w:rPr>
  </w:style>
  <w:style w:type="character" w:styleId="ListLabel1131">
    <w:name w:val="ListLabel 1131"/>
    <w:qFormat/>
    <w:rPr>
      <w:rFonts w:ascii="Arial" w:hAnsi="Arial" w:cs="Symbol"/>
    </w:rPr>
  </w:style>
  <w:style w:type="character" w:styleId="ListLabel1132">
    <w:name w:val="ListLabel 1132"/>
    <w:qFormat/>
    <w:rPr>
      <w:rFonts w:cs="Courier New"/>
    </w:rPr>
  </w:style>
  <w:style w:type="character" w:styleId="ListLabel1133">
    <w:name w:val="ListLabel 1133"/>
    <w:qFormat/>
    <w:rPr>
      <w:rFonts w:cs="Wingdings"/>
    </w:rPr>
  </w:style>
  <w:style w:type="character" w:styleId="ListLabel1134">
    <w:name w:val="ListLabel 1134"/>
    <w:qFormat/>
    <w:rPr>
      <w:rFonts w:cs="Symbol"/>
    </w:rPr>
  </w:style>
  <w:style w:type="character" w:styleId="ListLabel1135">
    <w:name w:val="ListLabel 1135"/>
    <w:qFormat/>
    <w:rPr>
      <w:rFonts w:cs="Courier New"/>
    </w:rPr>
  </w:style>
  <w:style w:type="character" w:styleId="ListLabel1136">
    <w:name w:val="ListLabel 1136"/>
    <w:qFormat/>
    <w:rPr>
      <w:rFonts w:cs="Wingdings"/>
    </w:rPr>
  </w:style>
  <w:style w:type="character" w:styleId="ListLabel1137">
    <w:name w:val="ListLabel 1137"/>
    <w:qFormat/>
    <w:rPr>
      <w:rFonts w:cs="Symbol"/>
    </w:rPr>
  </w:style>
  <w:style w:type="character" w:styleId="ListLabel1138">
    <w:name w:val="ListLabel 1138"/>
    <w:qFormat/>
    <w:rPr>
      <w:rFonts w:cs="Courier New"/>
    </w:rPr>
  </w:style>
  <w:style w:type="character" w:styleId="ListLabel1139">
    <w:name w:val="ListLabel 1139"/>
    <w:qFormat/>
    <w:rPr>
      <w:rFonts w:cs="Wingdings"/>
    </w:rPr>
  </w:style>
  <w:style w:type="character" w:styleId="ListLabel1140">
    <w:name w:val="ListLabel 1140"/>
    <w:qFormat/>
    <w:rPr>
      <w:rFonts w:ascii="Arial" w:hAnsi="Arial"/>
      <w:b/>
      <w:bCs w:val="false"/>
    </w:rPr>
  </w:style>
  <w:style w:type="character" w:styleId="ListLabel1141">
    <w:name w:val="ListLabel 1141"/>
    <w:qFormat/>
    <w:rPr>
      <w:rFonts w:ascii="Arial" w:hAnsi="Arial" w:cs="Arial"/>
    </w:rPr>
  </w:style>
  <w:style w:type="character" w:styleId="ListLabel1142">
    <w:name w:val="ListLabel 1142"/>
    <w:qFormat/>
    <w:rPr>
      <w:rFonts w:ascii="Arial" w:hAnsi="Arial" w:cs="Arial"/>
      <w:color w:val="000000"/>
      <w:u w:val="none"/>
    </w:rPr>
  </w:style>
  <w:style w:type="character" w:styleId="ListLabel1143">
    <w:name w:val="ListLabel 1143"/>
    <w:qFormat/>
    <w:rPr>
      <w:rFonts w:ascii="Arial" w:hAnsi="Arial" w:cs="Arial"/>
      <w:i/>
      <w:color w:val="000000"/>
      <w:u w:val="none"/>
    </w:rPr>
  </w:style>
  <w:style w:type="paragraph" w:styleId="Nagwek">
    <w:name w:val="Nagłówek"/>
    <w:basedOn w:val="Normal"/>
    <w:next w:val="Tretekstu"/>
    <w:qFormat/>
    <w:pPr>
      <w:keepNext w:val="true"/>
      <w:spacing w:before="240" w:after="120"/>
    </w:pPr>
    <w:rPr>
      <w:rFonts w:ascii="Liberation Sans" w:hAnsi="Liberation Sans" w:eastAsia="Microsoft YaHei" w:cs="Arial"/>
      <w:sz w:val="28"/>
      <w:szCs w:val="28"/>
    </w:rPr>
  </w:style>
  <w:style w:type="paragraph" w:styleId="Tretekstu">
    <w:name w:val="Body Text"/>
    <w:basedOn w:val="Normal"/>
    <w:link w:val="TekstpodstawowyZnak"/>
    <w:unhideWhenUsed/>
    <w:rsid w:val="00f06bc3"/>
    <w:pPr>
      <w:spacing w:before="0" w:after="120"/>
    </w:pPr>
    <w:rPr/>
  </w:style>
  <w:style w:type="paragraph" w:styleId="Lista">
    <w:name w:val="List"/>
    <w:basedOn w:val="Normal"/>
    <w:uiPriority w:val="99"/>
    <w:unhideWhenUsed/>
    <w:rsid w:val="001c6f11"/>
    <w:pPr>
      <w:spacing w:before="0" w:after="200"/>
      <w:ind w:left="283" w:hanging="283"/>
      <w:contextualSpacing/>
    </w:pPr>
    <w:rPr/>
  </w:style>
  <w:style w:type="paragraph" w:styleId="Podpis">
    <w:name w:val="Caption"/>
    <w:basedOn w:val="Normal"/>
    <w:qFormat/>
    <w:pPr>
      <w:suppressLineNumbers/>
      <w:spacing w:before="120" w:after="120"/>
    </w:pPr>
    <w:rPr>
      <w:rFonts w:cs="Arial"/>
      <w:i/>
      <w:iCs/>
      <w:sz w:val="24"/>
      <w:szCs w:val="24"/>
    </w:rPr>
  </w:style>
  <w:style w:type="paragraph" w:styleId="Indeks">
    <w:name w:val="Indeks"/>
    <w:basedOn w:val="Normal"/>
    <w:qFormat/>
    <w:pPr>
      <w:suppressLineNumbers/>
    </w:pPr>
    <w:rPr>
      <w:rFonts w:cs="Arial"/>
    </w:rPr>
  </w:style>
  <w:style w:type="paragraph" w:styleId="ListParagraph">
    <w:name w:val="List Paragraph"/>
    <w:basedOn w:val="Normal"/>
    <w:qFormat/>
    <w:rsid w:val="00da778a"/>
    <w:pPr>
      <w:spacing w:before="0" w:after="200"/>
      <w:ind w:left="720" w:hanging="0"/>
      <w:contextualSpacing/>
    </w:pPr>
    <w:rPr/>
  </w:style>
  <w:style w:type="paragraph" w:styleId="BalloonText">
    <w:name w:val="Balloon Text"/>
    <w:basedOn w:val="Normal"/>
    <w:link w:val="TekstdymkaZnak"/>
    <w:uiPriority w:val="99"/>
    <w:semiHidden/>
    <w:unhideWhenUsed/>
    <w:qFormat/>
    <w:rsid w:val="000e6c47"/>
    <w:pPr>
      <w:spacing w:lineRule="auto" w:line="240" w:before="0" w:after="0"/>
    </w:pPr>
    <w:rPr>
      <w:rFonts w:ascii="Tahoma" w:hAnsi="Tahoma"/>
      <w:sz w:val="16"/>
      <w:szCs w:val="16"/>
    </w:rPr>
  </w:style>
  <w:style w:type="paragraph" w:styleId="Przypiskocowy">
    <w:name w:val="Endnote Text"/>
    <w:basedOn w:val="Normal"/>
    <w:link w:val="TekstprzypisukocowegoZnak"/>
    <w:uiPriority w:val="99"/>
    <w:semiHidden/>
    <w:unhideWhenUsed/>
    <w:rsid w:val="001e1045"/>
    <w:pPr>
      <w:spacing w:lineRule="auto" w:line="240" w:before="0" w:after="0"/>
    </w:pPr>
    <w:rPr>
      <w:sz w:val="20"/>
      <w:szCs w:val="20"/>
    </w:rPr>
  </w:style>
  <w:style w:type="paragraph" w:styleId="Caption">
    <w:name w:val="caption"/>
    <w:basedOn w:val="Normal"/>
    <w:next w:val="Normal"/>
    <w:uiPriority w:val="99"/>
    <w:unhideWhenUsed/>
    <w:qFormat/>
    <w:rsid w:val="00cd4341"/>
    <w:pPr>
      <w:spacing w:lineRule="auto" w:line="240"/>
    </w:pPr>
    <w:rPr>
      <w:rFonts w:ascii="Arial" w:hAnsi="Arial"/>
      <w:b/>
      <w:bCs/>
      <w:sz w:val="18"/>
      <w:szCs w:val="18"/>
    </w:rPr>
  </w:style>
  <w:style w:type="paragraph" w:styleId="NoSpacing">
    <w:name w:val="No Spacing"/>
    <w:link w:val="BezodstpwZnak"/>
    <w:qFormat/>
    <w:rsid w:val="00150820"/>
    <w:pPr>
      <w:widowControl/>
      <w:bidi w:val="0"/>
      <w:jc w:val="left"/>
    </w:pPr>
    <w:rPr>
      <w:rFonts w:ascii="Calibri" w:hAnsi="Calibri" w:eastAsia="Times New Roman" w:cs="Times New Roman"/>
      <w:color w:val="auto"/>
      <w:kern w:val="0"/>
      <w:sz w:val="22"/>
      <w:szCs w:val="22"/>
      <w:lang w:val="pl-PL" w:eastAsia="pl-PL" w:bidi="ar-SA"/>
    </w:rPr>
  </w:style>
  <w:style w:type="paragraph" w:styleId="Default" w:customStyle="1">
    <w:name w:val="Default"/>
    <w:qFormat/>
    <w:rsid w:val="00a6721f"/>
    <w:pPr>
      <w:widowControl/>
      <w:bidi w:val="0"/>
      <w:jc w:val="left"/>
    </w:pPr>
    <w:rPr>
      <w:rFonts w:ascii="Times New Roman" w:hAnsi="Times New Roman" w:eastAsia="Calibri" w:cs="Times New Roman"/>
      <w:color w:val="000000"/>
      <w:kern w:val="0"/>
      <w:sz w:val="24"/>
      <w:szCs w:val="24"/>
      <w:lang w:val="pl-PL" w:eastAsia="pl-PL" w:bidi="ar-SA"/>
    </w:rPr>
  </w:style>
  <w:style w:type="paragraph" w:styleId="Gwka">
    <w:name w:val="Header"/>
    <w:basedOn w:val="Normal"/>
    <w:link w:val="NagwekZnak"/>
    <w:uiPriority w:val="99"/>
    <w:unhideWhenUsed/>
    <w:rsid w:val="009f1fa0"/>
    <w:pPr>
      <w:tabs>
        <w:tab w:val="center" w:pos="4536" w:leader="none"/>
        <w:tab w:val="right" w:pos="9072" w:leader="none"/>
      </w:tabs>
      <w:spacing w:lineRule="auto" w:line="240" w:before="0" w:after="0"/>
    </w:pPr>
    <w:rPr/>
  </w:style>
  <w:style w:type="paragraph" w:styleId="Stopka">
    <w:name w:val="Footer"/>
    <w:basedOn w:val="Normal"/>
    <w:link w:val="StopkaZnak"/>
    <w:uiPriority w:val="99"/>
    <w:unhideWhenUsed/>
    <w:rsid w:val="009f1fa0"/>
    <w:pPr>
      <w:tabs>
        <w:tab w:val="center" w:pos="4536" w:leader="none"/>
        <w:tab w:val="right" w:pos="9072" w:leader="none"/>
      </w:tabs>
      <w:spacing w:lineRule="auto" w:line="240" w:before="0" w:after="0"/>
    </w:pPr>
    <w:rPr/>
  </w:style>
  <w:style w:type="paragraph" w:styleId="BodyText2">
    <w:name w:val="Body Text 2"/>
    <w:basedOn w:val="Normal"/>
    <w:link w:val="Tekstpodstawowy2Znak"/>
    <w:qFormat/>
    <w:rsid w:val="003326d4"/>
    <w:pPr>
      <w:spacing w:lineRule="auto" w:line="480" w:before="0" w:after="120"/>
    </w:pPr>
    <w:rPr>
      <w:rFonts w:ascii="Times New Roman" w:hAnsi="Times New Roman"/>
      <w:sz w:val="24"/>
      <w:szCs w:val="24"/>
    </w:rPr>
  </w:style>
  <w:style w:type="paragraph" w:styleId="Wcicietrecitekstu">
    <w:name w:val="Body Text Indent"/>
    <w:basedOn w:val="Tretekstu"/>
    <w:link w:val="TekstpodstawowyzwciciemZnak"/>
    <w:uiPriority w:val="99"/>
    <w:unhideWhenUsed/>
    <w:qFormat/>
    <w:rsid w:val="001c6f11"/>
    <w:pPr>
      <w:spacing w:before="0" w:after="200"/>
      <w:ind w:firstLine="360"/>
    </w:pPr>
    <w:rPr/>
  </w:style>
  <w:style w:type="paragraph" w:styleId="Style67" w:customStyle="1">
    <w:name w:val="Style67"/>
    <w:basedOn w:val="Normal"/>
    <w:uiPriority w:val="99"/>
    <w:qFormat/>
    <w:rsid w:val="00c97035"/>
    <w:pPr>
      <w:widowControl w:val="false"/>
      <w:spacing w:lineRule="exact" w:line="413" w:before="0" w:after="0"/>
      <w:ind w:hanging="355"/>
      <w:jc w:val="both"/>
    </w:pPr>
    <w:rPr>
      <w:rFonts w:ascii="Arial Unicode MS" w:hAnsi="Arial Unicode MS" w:eastAsia="Arial Unicode MS" w:cs="Arial Unicode MS"/>
      <w:sz w:val="24"/>
      <w:szCs w:val="24"/>
    </w:rPr>
  </w:style>
  <w:style w:type="paragraph" w:styleId="Mapadokumentu1" w:customStyle="1">
    <w:name w:val="Mapa dokumentu1"/>
    <w:basedOn w:val="Normal"/>
    <w:link w:val="MapadokumentuZnak"/>
    <w:uiPriority w:val="99"/>
    <w:semiHidden/>
    <w:unhideWhenUsed/>
    <w:qFormat/>
    <w:rsid w:val="002557b0"/>
    <w:pPr>
      <w:spacing w:lineRule="auto" w:line="240" w:before="0" w:after="0"/>
    </w:pPr>
    <w:rPr>
      <w:rFonts w:ascii="Tahoma" w:hAnsi="Tahoma"/>
      <w:sz w:val="16"/>
      <w:szCs w:val="16"/>
    </w:rPr>
  </w:style>
  <w:style w:type="paragraph" w:styleId="Style17" w:customStyle="1">
    <w:name w:val="Style17"/>
    <w:basedOn w:val="Normal"/>
    <w:uiPriority w:val="99"/>
    <w:qFormat/>
    <w:rsid w:val="005b348d"/>
    <w:pPr>
      <w:widowControl w:val="false"/>
      <w:spacing w:lineRule="exact" w:line="379" w:before="0" w:after="0"/>
      <w:jc w:val="both"/>
    </w:pPr>
    <w:rPr>
      <w:rFonts w:ascii="Comic Sans MS" w:hAnsi="Comic Sans MS" w:cs="Comic Sans MS"/>
      <w:sz w:val="24"/>
      <w:szCs w:val="24"/>
    </w:rPr>
  </w:style>
  <w:style w:type="paragraph" w:styleId="Style18" w:customStyle="1">
    <w:name w:val="Style18"/>
    <w:basedOn w:val="Normal"/>
    <w:uiPriority w:val="99"/>
    <w:qFormat/>
    <w:rsid w:val="005b348d"/>
    <w:pPr>
      <w:widowControl w:val="false"/>
      <w:spacing w:lineRule="exact" w:line="274" w:before="0" w:after="0"/>
      <w:ind w:firstLine="533"/>
      <w:jc w:val="both"/>
    </w:pPr>
    <w:rPr>
      <w:rFonts w:ascii="Arial Unicode MS" w:hAnsi="Arial Unicode MS" w:cs="Arial Unicode MS"/>
      <w:sz w:val="24"/>
      <w:szCs w:val="24"/>
    </w:rPr>
  </w:style>
  <w:style w:type="paragraph" w:styleId="Style15" w:customStyle="1">
    <w:name w:val="Style15"/>
    <w:basedOn w:val="Normal"/>
    <w:uiPriority w:val="99"/>
    <w:qFormat/>
    <w:rsid w:val="005b348d"/>
    <w:pPr>
      <w:widowControl w:val="false"/>
      <w:spacing w:lineRule="exact" w:line="276" w:before="0" w:after="0"/>
      <w:ind w:firstLine="538"/>
      <w:jc w:val="both"/>
    </w:pPr>
    <w:rPr>
      <w:rFonts w:ascii="Arial Unicode MS" w:hAnsi="Arial Unicode MS" w:cs="Arial Unicode MS"/>
      <w:sz w:val="24"/>
      <w:szCs w:val="24"/>
    </w:rPr>
  </w:style>
  <w:style w:type="paragraph" w:styleId="Style32" w:customStyle="1">
    <w:name w:val="Style32"/>
    <w:basedOn w:val="Normal"/>
    <w:uiPriority w:val="99"/>
    <w:qFormat/>
    <w:rsid w:val="005b348d"/>
    <w:pPr>
      <w:widowControl w:val="false"/>
      <w:spacing w:lineRule="exact" w:line="384" w:before="0" w:after="0"/>
    </w:pPr>
    <w:rPr>
      <w:rFonts w:ascii="Comic Sans MS" w:hAnsi="Comic Sans MS" w:cs="Comic Sans MS"/>
      <w:sz w:val="24"/>
      <w:szCs w:val="24"/>
    </w:rPr>
  </w:style>
  <w:style w:type="paragraph" w:styleId="Style33" w:customStyle="1">
    <w:name w:val="Style33"/>
    <w:basedOn w:val="Normal"/>
    <w:uiPriority w:val="99"/>
    <w:qFormat/>
    <w:rsid w:val="005b348d"/>
    <w:pPr>
      <w:widowControl w:val="false"/>
      <w:spacing w:lineRule="exact" w:line="379" w:before="0" w:after="0"/>
      <w:ind w:hanging="331"/>
      <w:jc w:val="both"/>
    </w:pPr>
    <w:rPr>
      <w:rFonts w:ascii="Comic Sans MS" w:hAnsi="Comic Sans MS" w:cs="Comic Sans MS"/>
      <w:sz w:val="24"/>
      <w:szCs w:val="24"/>
    </w:rPr>
  </w:style>
  <w:style w:type="paragraph" w:styleId="Style35" w:customStyle="1">
    <w:name w:val="Style35"/>
    <w:basedOn w:val="Normal"/>
    <w:uiPriority w:val="99"/>
    <w:qFormat/>
    <w:rsid w:val="005b348d"/>
    <w:pPr>
      <w:widowControl w:val="false"/>
      <w:spacing w:lineRule="auto" w:line="240" w:before="0" w:after="0"/>
    </w:pPr>
    <w:rPr>
      <w:rFonts w:ascii="Comic Sans MS" w:hAnsi="Comic Sans MS" w:cs="Comic Sans MS"/>
      <w:sz w:val="24"/>
      <w:szCs w:val="24"/>
    </w:rPr>
  </w:style>
  <w:style w:type="paragraph" w:styleId="Style36" w:customStyle="1">
    <w:name w:val="Style36"/>
    <w:basedOn w:val="Normal"/>
    <w:uiPriority w:val="99"/>
    <w:qFormat/>
    <w:rsid w:val="005b348d"/>
    <w:pPr>
      <w:widowControl w:val="false"/>
      <w:spacing w:lineRule="exact" w:line="384" w:before="0" w:after="0"/>
      <w:ind w:hanging="341"/>
    </w:pPr>
    <w:rPr>
      <w:rFonts w:ascii="Comic Sans MS" w:hAnsi="Comic Sans MS" w:cs="Comic Sans MS"/>
      <w:sz w:val="24"/>
      <w:szCs w:val="24"/>
    </w:rPr>
  </w:style>
  <w:style w:type="paragraph" w:styleId="Kreskowanie" w:customStyle="1">
    <w:name w:val="kreskowanie"/>
    <w:basedOn w:val="Podstawowy"/>
    <w:qFormat/>
    <w:rsid w:val="00ed298b"/>
    <w:pPr>
      <w:tabs>
        <w:tab w:val="left" w:pos="680" w:leader="none"/>
        <w:tab w:val="left" w:pos="720" w:leader="none"/>
      </w:tabs>
      <w:ind w:left="720" w:hanging="720"/>
    </w:pPr>
    <w:rPr>
      <w:color w:val="000000"/>
    </w:rPr>
  </w:style>
  <w:style w:type="paragraph" w:styleId="Podstawowy" w:customStyle="1">
    <w:name w:val="Podstawowy"/>
    <w:basedOn w:val="Normal"/>
    <w:qFormat/>
    <w:rsid w:val="00ed298b"/>
    <w:pPr>
      <w:spacing w:lineRule="atLeast" w:line="340" w:before="0" w:after="0"/>
      <w:ind w:firstLine="397"/>
      <w:jc w:val="both"/>
    </w:pPr>
    <w:rPr>
      <w:rFonts w:ascii="Times New Roman" w:hAnsi="Times New Roman"/>
    </w:rPr>
  </w:style>
  <w:style w:type="paragraph" w:styleId="Podstawowybezwcicia" w:customStyle="1">
    <w:name w:val="Podstawowy bez wcięcia"/>
    <w:basedOn w:val="Podstawowy"/>
    <w:qFormat/>
    <w:rsid w:val="00ed298b"/>
    <w:pPr>
      <w:ind w:hanging="0"/>
    </w:pPr>
    <w:rPr/>
  </w:style>
  <w:style w:type="paragraph" w:styleId="Podstawowy6" w:customStyle="1">
    <w:name w:val="Podstawowy+6"/>
    <w:basedOn w:val="Podstawowy"/>
    <w:next w:val="Podstawowy"/>
    <w:qFormat/>
    <w:rsid w:val="00ed298b"/>
    <w:pPr>
      <w:spacing w:before="180" w:after="0"/>
    </w:pPr>
    <w:rPr/>
  </w:style>
  <w:style w:type="paragraph" w:styleId="Podrozdzia1" w:customStyle="1">
    <w:name w:val="Podrozdział1"/>
    <w:basedOn w:val="Podstawowy"/>
    <w:qFormat/>
    <w:rsid w:val="00ed298b"/>
    <w:pPr>
      <w:keepNext w:val="true"/>
      <w:keepLines/>
      <w:spacing w:before="240" w:after="120"/>
      <w:ind w:hanging="0"/>
      <w:jc w:val="left"/>
    </w:pPr>
    <w:rPr>
      <w:b/>
      <w:bCs/>
    </w:rPr>
  </w:style>
  <w:style w:type="paragraph" w:styleId="TOCHeading">
    <w:name w:val="TOC Heading"/>
    <w:basedOn w:val="Nagwek1"/>
    <w:next w:val="Normal"/>
    <w:uiPriority w:val="39"/>
    <w:unhideWhenUsed/>
    <w:qFormat/>
    <w:rsid w:val="009d59c9"/>
    <w:pPr>
      <w:keepLines/>
      <w:spacing w:lineRule="auto" w:line="276" w:before="480" w:after="0"/>
    </w:pPr>
    <w:rPr>
      <w:rFonts w:ascii="Cambria" w:hAnsi="Cambria"/>
      <w:color w:val="365F91"/>
      <w:kern w:val="0"/>
      <w:szCs w:val="28"/>
      <w:lang w:eastAsia="en-US"/>
    </w:rPr>
  </w:style>
  <w:style w:type="paragraph" w:styleId="Spistreci1">
    <w:name w:val="TOC 1"/>
    <w:basedOn w:val="Normal"/>
    <w:next w:val="Normal"/>
    <w:autoRedefine/>
    <w:uiPriority w:val="39"/>
    <w:unhideWhenUsed/>
    <w:qFormat/>
    <w:rsid w:val="009f0c6c"/>
    <w:pPr>
      <w:tabs>
        <w:tab w:val="left" w:pos="480" w:leader="none"/>
        <w:tab w:val="right" w:pos="9496" w:leader="dot"/>
      </w:tabs>
      <w:spacing w:before="0" w:after="100"/>
    </w:pPr>
    <w:rPr>
      <w:rFonts w:ascii="Arial" w:hAnsi="Arial" w:cs="Arial"/>
    </w:rPr>
  </w:style>
  <w:style w:type="paragraph" w:styleId="Spistreci2">
    <w:name w:val="TOC 2"/>
    <w:basedOn w:val="Normal"/>
    <w:next w:val="Normal"/>
    <w:autoRedefine/>
    <w:uiPriority w:val="39"/>
    <w:unhideWhenUsed/>
    <w:qFormat/>
    <w:rsid w:val="00d26643"/>
    <w:pPr>
      <w:tabs>
        <w:tab w:val="left" w:pos="880" w:leader="none"/>
        <w:tab w:val="right" w:pos="9496" w:leader="dot"/>
      </w:tabs>
      <w:spacing w:before="0" w:after="100"/>
      <w:ind w:left="220" w:hanging="220"/>
      <w:jc w:val="both"/>
    </w:pPr>
    <w:rPr>
      <w:rFonts w:ascii="Arial" w:hAnsi="Arial" w:cs="Arial"/>
    </w:rPr>
  </w:style>
  <w:style w:type="paragraph" w:styleId="Zawartotabeli" w:customStyle="1">
    <w:name w:val="Zawartość tabeli"/>
    <w:basedOn w:val="Normal"/>
    <w:qFormat/>
    <w:rsid w:val="005217b9"/>
    <w:pPr>
      <w:widowControl w:val="false"/>
      <w:suppressLineNumbers/>
      <w:suppressAutoHyphens w:val="true"/>
      <w:spacing w:lineRule="auto" w:line="240" w:before="0" w:after="0"/>
    </w:pPr>
    <w:rPr>
      <w:rFonts w:ascii="Times New Roman" w:hAnsi="Times New Roman" w:eastAsia="Lucida Sans Unicode" w:cs="Tahoma"/>
      <w:color w:val="000000"/>
      <w:sz w:val="24"/>
      <w:szCs w:val="24"/>
      <w:lang w:bidi="en-US"/>
    </w:rPr>
  </w:style>
  <w:style w:type="paragraph" w:styleId="Style22" w:customStyle="1">
    <w:name w:val="Style22"/>
    <w:basedOn w:val="Normal"/>
    <w:uiPriority w:val="99"/>
    <w:qFormat/>
    <w:rsid w:val="0007003c"/>
    <w:pPr>
      <w:widowControl w:val="false"/>
      <w:spacing w:lineRule="exact" w:line="379" w:before="0" w:after="0"/>
      <w:ind w:firstLine="235"/>
    </w:pPr>
    <w:rPr>
      <w:rFonts w:ascii="Comic Sans MS" w:hAnsi="Comic Sans MS"/>
      <w:sz w:val="24"/>
      <w:szCs w:val="24"/>
    </w:rPr>
  </w:style>
  <w:style w:type="paragraph" w:styleId="Style25" w:customStyle="1">
    <w:name w:val="Style25"/>
    <w:basedOn w:val="Normal"/>
    <w:uiPriority w:val="99"/>
    <w:qFormat/>
    <w:rsid w:val="00713592"/>
    <w:pPr>
      <w:widowControl w:val="false"/>
      <w:spacing w:lineRule="auto" w:line="240" w:before="0" w:after="0"/>
    </w:pPr>
    <w:rPr>
      <w:rFonts w:ascii="Arial Unicode MS" w:hAnsi="Arial Unicode MS" w:eastAsia="Arial Unicode MS" w:cs="Arial Unicode MS"/>
      <w:sz w:val="24"/>
      <w:szCs w:val="24"/>
    </w:rPr>
  </w:style>
  <w:style w:type="paragraph" w:styleId="Style27" w:customStyle="1">
    <w:name w:val="Style27"/>
    <w:basedOn w:val="Normal"/>
    <w:uiPriority w:val="99"/>
    <w:qFormat/>
    <w:rsid w:val="00713592"/>
    <w:pPr>
      <w:widowControl w:val="false"/>
      <w:spacing w:lineRule="auto" w:line="240" w:before="0" w:after="0"/>
    </w:pPr>
    <w:rPr>
      <w:rFonts w:ascii="Arial Unicode MS" w:hAnsi="Arial Unicode MS" w:eastAsia="Arial Unicode MS" w:cs="Arial Unicode MS"/>
      <w:sz w:val="24"/>
      <w:szCs w:val="24"/>
    </w:rPr>
  </w:style>
  <w:style w:type="paragraph" w:styleId="Style30" w:customStyle="1">
    <w:name w:val="Style30"/>
    <w:basedOn w:val="Normal"/>
    <w:uiPriority w:val="99"/>
    <w:qFormat/>
    <w:rsid w:val="00713592"/>
    <w:pPr>
      <w:widowControl w:val="false"/>
      <w:spacing w:lineRule="auto" w:line="240" w:before="0" w:after="0"/>
    </w:pPr>
    <w:rPr>
      <w:rFonts w:ascii="Arial Unicode MS" w:hAnsi="Arial Unicode MS" w:eastAsia="Arial Unicode MS" w:cs="Arial Unicode MS"/>
      <w:sz w:val="24"/>
      <w:szCs w:val="24"/>
    </w:rPr>
  </w:style>
  <w:style w:type="paragraph" w:styleId="Style37" w:customStyle="1">
    <w:name w:val="Style37"/>
    <w:basedOn w:val="Normal"/>
    <w:uiPriority w:val="99"/>
    <w:qFormat/>
    <w:rsid w:val="00713592"/>
    <w:pPr>
      <w:widowControl w:val="false"/>
      <w:spacing w:lineRule="exact" w:line="226" w:before="0" w:after="0"/>
    </w:pPr>
    <w:rPr>
      <w:rFonts w:ascii="Arial Unicode MS" w:hAnsi="Arial Unicode MS" w:eastAsia="Arial Unicode MS" w:cs="Arial Unicode MS"/>
      <w:sz w:val="24"/>
      <w:szCs w:val="24"/>
    </w:rPr>
  </w:style>
  <w:style w:type="paragraph" w:styleId="Style76" w:customStyle="1">
    <w:name w:val="Style76"/>
    <w:basedOn w:val="Normal"/>
    <w:uiPriority w:val="99"/>
    <w:qFormat/>
    <w:rsid w:val="00713592"/>
    <w:pPr>
      <w:widowControl w:val="false"/>
      <w:spacing w:lineRule="auto" w:line="240" w:before="0" w:after="0"/>
    </w:pPr>
    <w:rPr>
      <w:rFonts w:ascii="Arial Unicode MS" w:hAnsi="Arial Unicode MS" w:eastAsia="Arial Unicode MS" w:cs="Arial Unicode MS"/>
      <w:sz w:val="24"/>
      <w:szCs w:val="24"/>
    </w:rPr>
  </w:style>
  <w:style w:type="paragraph" w:styleId="Style58" w:customStyle="1">
    <w:name w:val="Style58"/>
    <w:basedOn w:val="Normal"/>
    <w:uiPriority w:val="99"/>
    <w:qFormat/>
    <w:rsid w:val="00713592"/>
    <w:pPr>
      <w:widowControl w:val="false"/>
      <w:spacing w:lineRule="auto" w:line="240" w:before="0" w:after="0"/>
      <w:jc w:val="both"/>
    </w:pPr>
    <w:rPr>
      <w:rFonts w:ascii="Arial Unicode MS" w:hAnsi="Arial Unicode MS" w:eastAsia="Arial Unicode MS" w:cs="Arial Unicode MS"/>
      <w:sz w:val="24"/>
      <w:szCs w:val="24"/>
    </w:rPr>
  </w:style>
  <w:style w:type="paragraph" w:styleId="Style23" w:customStyle="1">
    <w:name w:val="Style23"/>
    <w:basedOn w:val="Normal"/>
    <w:uiPriority w:val="99"/>
    <w:qFormat/>
    <w:rsid w:val="00713592"/>
    <w:pPr>
      <w:widowControl w:val="false"/>
      <w:spacing w:lineRule="exact" w:line="276" w:before="0" w:after="0"/>
      <w:ind w:firstLine="701"/>
      <w:jc w:val="both"/>
    </w:pPr>
    <w:rPr>
      <w:rFonts w:ascii="Arial Unicode MS" w:hAnsi="Arial Unicode MS" w:eastAsia="Arial Unicode MS" w:cs="Arial Unicode MS"/>
      <w:sz w:val="24"/>
      <w:szCs w:val="24"/>
    </w:rPr>
  </w:style>
  <w:style w:type="paragraph" w:styleId="Xl22" w:customStyle="1">
    <w:name w:val="xl22"/>
    <w:basedOn w:val="Normal"/>
    <w:qFormat/>
    <w:rsid w:val="005532a0"/>
    <w:pPr>
      <w:pBdr>
        <w:left w:val="single" w:sz="4" w:space="0" w:color="000000"/>
      </w:pBdr>
      <w:spacing w:lineRule="auto" w:line="240" w:beforeAutospacing="1" w:afterAutospacing="1"/>
    </w:pPr>
    <w:rPr>
      <w:rFonts w:ascii="Arial Unicode MS" w:hAnsi="Arial Unicode MS"/>
      <w:sz w:val="24"/>
      <w:szCs w:val="24"/>
    </w:rPr>
  </w:style>
  <w:style w:type="paragraph" w:styleId="BodyTextIndent3">
    <w:name w:val="Body Text Indent 3"/>
    <w:basedOn w:val="Normal"/>
    <w:link w:val="Tekstpodstawowywcity3Znak"/>
    <w:uiPriority w:val="99"/>
    <w:qFormat/>
    <w:rsid w:val="005532a0"/>
    <w:pPr>
      <w:spacing w:lineRule="auto" w:line="360" w:before="0" w:after="0"/>
      <w:ind w:firstLine="708"/>
      <w:jc w:val="both"/>
    </w:pPr>
    <w:rPr>
      <w:rFonts w:ascii="Arial" w:hAnsi="Arial" w:eastAsia="HumanistTripleSevenPL-Light"/>
      <w:sz w:val="24"/>
      <w:szCs w:val="24"/>
    </w:rPr>
  </w:style>
  <w:style w:type="paragraph" w:styleId="ZnakZnakZnakZnakZnakZnakZnak" w:customStyle="1">
    <w:name w:val="Znak Znak Znak Znak Znak Znak Znak"/>
    <w:basedOn w:val="Normal"/>
    <w:qFormat/>
    <w:rsid w:val="005532a0"/>
    <w:pPr>
      <w:spacing w:lineRule="auto" w:line="240" w:before="0" w:after="0"/>
    </w:pPr>
    <w:rPr>
      <w:rFonts w:ascii="Times New Roman" w:hAnsi="Times New Roman"/>
      <w:sz w:val="24"/>
      <w:szCs w:val="24"/>
    </w:rPr>
  </w:style>
  <w:style w:type="paragraph" w:styleId="HTMLPreformatted">
    <w:name w:val="HTML Preformatted"/>
    <w:basedOn w:val="Normal"/>
    <w:link w:val="HTML-wstpniesformatowanyZnak"/>
    <w:qFormat/>
    <w:rsid w:val="005532a0"/>
    <w:pPr>
      <w:tabs>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pPr>
    <w:rPr>
      <w:rFonts w:ascii="Arial Unicode MS" w:hAnsi="Arial Unicode MS" w:eastAsia="Arial Unicode MS"/>
      <w:color w:val="000000"/>
      <w:sz w:val="20"/>
      <w:szCs w:val="20"/>
    </w:rPr>
  </w:style>
  <w:style w:type="paragraph" w:styleId="Spistreci3">
    <w:name w:val="TOC 3"/>
    <w:basedOn w:val="Normal"/>
    <w:next w:val="Normal"/>
    <w:autoRedefine/>
    <w:uiPriority w:val="39"/>
    <w:unhideWhenUsed/>
    <w:qFormat/>
    <w:rsid w:val="005532a0"/>
    <w:pPr>
      <w:spacing w:lineRule="auto" w:line="240" w:before="0" w:after="0"/>
      <w:ind w:left="480" w:hanging="0"/>
    </w:pPr>
    <w:rPr>
      <w:rFonts w:ascii="Times New Roman" w:hAnsi="Times New Roman"/>
      <w:sz w:val="24"/>
      <w:szCs w:val="24"/>
    </w:rPr>
  </w:style>
  <w:style w:type="paragraph" w:styleId="NormalWeb">
    <w:name w:val="Normal (Web)"/>
    <w:basedOn w:val="Normal"/>
    <w:uiPriority w:val="99"/>
    <w:unhideWhenUsed/>
    <w:qFormat/>
    <w:rsid w:val="005532a0"/>
    <w:pPr>
      <w:spacing w:lineRule="auto" w:line="240" w:beforeAutospacing="1" w:afterAutospacing="1"/>
    </w:pPr>
    <w:rPr>
      <w:rFonts w:ascii="Times New Roman" w:hAnsi="Times New Roman"/>
      <w:sz w:val="24"/>
      <w:szCs w:val="24"/>
    </w:rPr>
  </w:style>
  <w:style w:type="paragraph" w:styleId="Tytutab" w:customStyle="1">
    <w:name w:val="Tytuł_tab"/>
    <w:basedOn w:val="Normal"/>
    <w:qFormat/>
    <w:rsid w:val="005532a0"/>
    <w:pPr>
      <w:tabs>
        <w:tab w:val="left" w:pos="1701" w:leader="none"/>
      </w:tabs>
      <w:spacing w:lineRule="exact" w:line="320" w:before="0" w:after="0"/>
      <w:jc w:val="both"/>
    </w:pPr>
    <w:rPr>
      <w:rFonts w:ascii="Verdana" w:hAnsi="Verdana"/>
      <w:b/>
      <w:i/>
      <w:color w:val="000080"/>
      <w:szCs w:val="20"/>
    </w:rPr>
  </w:style>
  <w:style w:type="paragraph" w:styleId="Zwyky" w:customStyle="1">
    <w:name w:val="zwykły"/>
    <w:basedOn w:val="Normal"/>
    <w:qFormat/>
    <w:rsid w:val="005532a0"/>
    <w:pPr>
      <w:overflowPunct w:val="false"/>
      <w:spacing w:lineRule="auto" w:line="360" w:before="0" w:after="60"/>
      <w:jc w:val="both"/>
      <w:textAlignment w:val="baseline"/>
    </w:pPr>
    <w:rPr>
      <w:rFonts w:ascii="Arial" w:hAnsi="Arial"/>
      <w:szCs w:val="20"/>
    </w:rPr>
  </w:style>
  <w:style w:type="paragraph" w:styleId="Wyliczanie" w:customStyle="1">
    <w:name w:val="– wyliczanie"/>
    <w:basedOn w:val="Normal"/>
    <w:qFormat/>
    <w:rsid w:val="005532a0"/>
    <w:pPr>
      <w:widowControl w:val="false"/>
      <w:overflowPunct w:val="false"/>
      <w:spacing w:lineRule="auto" w:line="360" w:before="0" w:after="60"/>
      <w:ind w:left="60" w:hanging="0"/>
      <w:jc w:val="both"/>
      <w:textAlignment w:val="baseline"/>
    </w:pPr>
    <w:rPr>
      <w:rFonts w:ascii="Arial" w:hAnsi="Arial"/>
      <w:szCs w:val="20"/>
    </w:rPr>
  </w:style>
  <w:style w:type="paragraph" w:styleId="Tabela" w:customStyle="1">
    <w:name w:val="tabela"/>
    <w:basedOn w:val="Normal"/>
    <w:qFormat/>
    <w:rsid w:val="005532a0"/>
    <w:pPr>
      <w:keepNext w:val="true"/>
      <w:keepLines/>
      <w:overflowPunct w:val="false"/>
      <w:spacing w:lineRule="auto" w:line="240" w:before="80" w:after="80"/>
      <w:jc w:val="both"/>
      <w:textAlignment w:val="baseline"/>
    </w:pPr>
    <w:rPr>
      <w:rFonts w:ascii="Arial" w:hAnsi="Arial"/>
      <w:sz w:val="20"/>
      <w:szCs w:val="20"/>
    </w:rPr>
  </w:style>
  <w:style w:type="paragraph" w:styleId="Style20" w:customStyle="1">
    <w:name w:val="Style20"/>
    <w:basedOn w:val="Normal"/>
    <w:uiPriority w:val="99"/>
    <w:qFormat/>
    <w:rsid w:val="005532a0"/>
    <w:pPr>
      <w:widowControl w:val="false"/>
      <w:spacing w:lineRule="exact" w:line="380" w:before="0" w:after="0"/>
    </w:pPr>
    <w:rPr>
      <w:rFonts w:ascii="Comic Sans MS" w:hAnsi="Comic Sans MS"/>
      <w:sz w:val="24"/>
      <w:szCs w:val="24"/>
    </w:rPr>
  </w:style>
  <w:style w:type="paragraph" w:styleId="Style21" w:customStyle="1">
    <w:name w:val="Style21"/>
    <w:basedOn w:val="Normal"/>
    <w:uiPriority w:val="99"/>
    <w:qFormat/>
    <w:rsid w:val="005532a0"/>
    <w:pPr>
      <w:widowControl w:val="false"/>
      <w:spacing w:lineRule="exact" w:line="379" w:before="0" w:after="0"/>
      <w:ind w:hanging="264"/>
    </w:pPr>
    <w:rPr>
      <w:rFonts w:ascii="Comic Sans MS" w:hAnsi="Comic Sans MS"/>
      <w:sz w:val="24"/>
      <w:szCs w:val="24"/>
    </w:rPr>
  </w:style>
  <w:style w:type="paragraph" w:styleId="Style41" w:customStyle="1">
    <w:name w:val="Style4"/>
    <w:basedOn w:val="Normal"/>
    <w:uiPriority w:val="99"/>
    <w:qFormat/>
    <w:rsid w:val="005532a0"/>
    <w:pPr>
      <w:widowControl w:val="false"/>
      <w:spacing w:lineRule="auto" w:line="240" w:before="0" w:after="0"/>
    </w:pPr>
    <w:rPr>
      <w:rFonts w:ascii="Tahoma" w:hAnsi="Tahoma" w:cs="Tahoma"/>
      <w:sz w:val="24"/>
      <w:szCs w:val="24"/>
    </w:rPr>
  </w:style>
  <w:style w:type="paragraph" w:styleId="Style411" w:customStyle="1">
    <w:name w:val="Style41"/>
    <w:basedOn w:val="Normal"/>
    <w:uiPriority w:val="99"/>
    <w:qFormat/>
    <w:rsid w:val="005532a0"/>
    <w:pPr>
      <w:widowControl w:val="false"/>
      <w:spacing w:lineRule="exact" w:line="378" w:before="0" w:after="0"/>
      <w:ind w:firstLine="562"/>
      <w:jc w:val="both"/>
    </w:pPr>
    <w:rPr>
      <w:rFonts w:ascii="Tahoma" w:hAnsi="Tahoma" w:cs="Tahoma"/>
      <w:sz w:val="24"/>
      <w:szCs w:val="24"/>
    </w:rPr>
  </w:style>
  <w:style w:type="paragraph" w:styleId="Style34" w:customStyle="1">
    <w:name w:val="Style34"/>
    <w:basedOn w:val="Normal"/>
    <w:uiPriority w:val="99"/>
    <w:qFormat/>
    <w:rsid w:val="005532a0"/>
    <w:pPr>
      <w:widowControl w:val="false"/>
      <w:spacing w:lineRule="exact" w:line="382" w:before="0" w:after="0"/>
      <w:ind w:firstLine="1116"/>
    </w:pPr>
    <w:rPr>
      <w:rFonts w:ascii="Tahoma" w:hAnsi="Tahoma" w:cs="Tahoma"/>
      <w:sz w:val="24"/>
      <w:szCs w:val="24"/>
    </w:rPr>
  </w:style>
  <w:style w:type="paragraph" w:styleId="Style46" w:customStyle="1">
    <w:name w:val="Style46"/>
    <w:basedOn w:val="Normal"/>
    <w:uiPriority w:val="99"/>
    <w:qFormat/>
    <w:rsid w:val="005532a0"/>
    <w:pPr>
      <w:widowControl w:val="false"/>
      <w:spacing w:lineRule="exact" w:line="382" w:before="0" w:after="0"/>
      <w:ind w:firstLine="1123"/>
      <w:jc w:val="both"/>
    </w:pPr>
    <w:rPr>
      <w:rFonts w:ascii="Tahoma" w:hAnsi="Tahoma" w:cs="Tahoma"/>
      <w:sz w:val="24"/>
      <w:szCs w:val="24"/>
    </w:rPr>
  </w:style>
  <w:style w:type="paragraph" w:styleId="Style54" w:customStyle="1">
    <w:name w:val="Style54"/>
    <w:basedOn w:val="Normal"/>
    <w:uiPriority w:val="99"/>
    <w:qFormat/>
    <w:rsid w:val="005532a0"/>
    <w:pPr>
      <w:widowControl w:val="false"/>
      <w:spacing w:lineRule="exact" w:line="242" w:before="0" w:after="0"/>
      <w:ind w:firstLine="533"/>
    </w:pPr>
    <w:rPr>
      <w:rFonts w:ascii="Times New Roman" w:hAnsi="Times New Roman"/>
      <w:sz w:val="24"/>
      <w:szCs w:val="24"/>
    </w:rPr>
  </w:style>
  <w:style w:type="paragraph" w:styleId="Style101" w:customStyle="1">
    <w:name w:val="Style101"/>
    <w:basedOn w:val="Normal"/>
    <w:uiPriority w:val="99"/>
    <w:qFormat/>
    <w:rsid w:val="005532a0"/>
    <w:pPr>
      <w:widowControl w:val="false"/>
      <w:spacing w:lineRule="exact" w:line="252" w:before="0" w:after="0"/>
      <w:jc w:val="both"/>
    </w:pPr>
    <w:rPr>
      <w:rFonts w:ascii="Times New Roman" w:hAnsi="Times New Roman"/>
      <w:sz w:val="24"/>
      <w:szCs w:val="24"/>
    </w:rPr>
  </w:style>
  <w:style w:type="paragraph" w:styleId="Style159" w:customStyle="1">
    <w:name w:val="Style159"/>
    <w:basedOn w:val="Normal"/>
    <w:uiPriority w:val="99"/>
    <w:qFormat/>
    <w:rsid w:val="005532a0"/>
    <w:pPr>
      <w:widowControl w:val="false"/>
      <w:spacing w:lineRule="exact" w:line="245" w:before="0" w:after="0"/>
      <w:ind w:hanging="331"/>
      <w:jc w:val="both"/>
    </w:pPr>
    <w:rPr>
      <w:rFonts w:ascii="Times New Roman" w:hAnsi="Times New Roman"/>
      <w:sz w:val="24"/>
      <w:szCs w:val="24"/>
    </w:rPr>
  </w:style>
  <w:style w:type="paragraph" w:styleId="Style72" w:customStyle="1">
    <w:name w:val="Style72"/>
    <w:basedOn w:val="Normal"/>
    <w:uiPriority w:val="99"/>
    <w:qFormat/>
    <w:rsid w:val="005532a0"/>
    <w:pPr>
      <w:widowControl w:val="false"/>
      <w:spacing w:lineRule="auto" w:line="240" w:before="0" w:after="0"/>
    </w:pPr>
    <w:rPr>
      <w:rFonts w:ascii="Arial Unicode MS" w:hAnsi="Arial Unicode MS" w:eastAsia="Arial Unicode MS" w:cs="Arial Unicode MS"/>
      <w:sz w:val="24"/>
      <w:szCs w:val="24"/>
    </w:rPr>
  </w:style>
  <w:style w:type="paragraph" w:styleId="Style11" w:customStyle="1">
    <w:name w:val="Style1"/>
    <w:basedOn w:val="Normal"/>
    <w:uiPriority w:val="99"/>
    <w:qFormat/>
    <w:rsid w:val="005532a0"/>
    <w:pPr>
      <w:widowControl w:val="false"/>
      <w:spacing w:lineRule="exact" w:line="643" w:before="0" w:after="0"/>
      <w:jc w:val="center"/>
    </w:pPr>
    <w:rPr>
      <w:rFonts w:ascii="Times New Roman" w:hAnsi="Times New Roman"/>
      <w:sz w:val="24"/>
      <w:szCs w:val="24"/>
    </w:rPr>
  </w:style>
  <w:style w:type="paragraph" w:styleId="Style24" w:customStyle="1">
    <w:name w:val="Style2"/>
    <w:basedOn w:val="Normal"/>
    <w:uiPriority w:val="99"/>
    <w:qFormat/>
    <w:rsid w:val="005532a0"/>
    <w:pPr>
      <w:widowControl w:val="false"/>
      <w:spacing w:lineRule="auto" w:line="240" w:before="0" w:after="0"/>
    </w:pPr>
    <w:rPr>
      <w:rFonts w:ascii="Times New Roman" w:hAnsi="Times New Roman"/>
      <w:sz w:val="24"/>
      <w:szCs w:val="24"/>
    </w:rPr>
  </w:style>
  <w:style w:type="paragraph" w:styleId="Tableoffigures">
    <w:name w:val="table of figures"/>
    <w:basedOn w:val="Normal"/>
    <w:next w:val="Normal"/>
    <w:uiPriority w:val="99"/>
    <w:unhideWhenUsed/>
    <w:qFormat/>
    <w:rsid w:val="00e65742"/>
    <w:pPr>
      <w:spacing w:before="0" w:after="0"/>
    </w:pPr>
    <w:rPr/>
  </w:style>
  <w:style w:type="paragraph" w:styleId="ListBullet3">
    <w:name w:val="List Bullet 3"/>
    <w:basedOn w:val="Normal"/>
    <w:uiPriority w:val="99"/>
    <w:unhideWhenUsed/>
    <w:qFormat/>
    <w:rsid w:val="001c6f11"/>
    <w:pPr>
      <w:spacing w:before="0" w:after="200"/>
      <w:ind w:left="566" w:hanging="283"/>
      <w:contextualSpacing/>
    </w:pPr>
    <w:rPr/>
  </w:style>
  <w:style w:type="paragraph" w:styleId="ListBullet4">
    <w:name w:val="List Bullet 4"/>
    <w:basedOn w:val="Normal"/>
    <w:uiPriority w:val="99"/>
    <w:unhideWhenUsed/>
    <w:qFormat/>
    <w:rsid w:val="001c6f11"/>
    <w:pPr>
      <w:spacing w:before="0" w:after="200"/>
      <w:ind w:left="849" w:hanging="283"/>
      <w:contextualSpacing/>
    </w:pPr>
    <w:rPr/>
  </w:style>
  <w:style w:type="paragraph" w:styleId="ListBullet">
    <w:name w:val="List Bullet"/>
    <w:basedOn w:val="Normal"/>
    <w:uiPriority w:val="99"/>
    <w:unhideWhenUsed/>
    <w:qFormat/>
    <w:rsid w:val="001c6f11"/>
    <w:pPr>
      <w:spacing w:before="0" w:after="200"/>
      <w:contextualSpacing/>
    </w:pPr>
    <w:rPr/>
  </w:style>
  <w:style w:type="paragraph" w:styleId="ListBullet2">
    <w:name w:val="List Bullet 2"/>
    <w:basedOn w:val="Normal"/>
    <w:uiPriority w:val="99"/>
    <w:unhideWhenUsed/>
    <w:qFormat/>
    <w:rsid w:val="001c6f11"/>
    <w:pPr>
      <w:spacing w:before="0" w:after="200"/>
      <w:contextualSpacing/>
    </w:pPr>
    <w:rPr/>
  </w:style>
  <w:style w:type="paragraph" w:styleId="ListContinue">
    <w:name w:val="List Continue"/>
    <w:basedOn w:val="Normal"/>
    <w:uiPriority w:val="99"/>
    <w:unhideWhenUsed/>
    <w:qFormat/>
    <w:rsid w:val="001c6f11"/>
    <w:pPr>
      <w:spacing w:before="0" w:after="120"/>
      <w:ind w:left="283" w:hanging="0"/>
      <w:contextualSpacing/>
    </w:pPr>
    <w:rPr/>
  </w:style>
  <w:style w:type="paragraph" w:styleId="BodyTextFirstIndent2">
    <w:name w:val="Body Text First Indent 2"/>
    <w:basedOn w:val="Wcicietrecitekstu"/>
    <w:link w:val="Tekstpodstawowyzwciciem2Znak"/>
    <w:uiPriority w:val="99"/>
    <w:unhideWhenUsed/>
    <w:qFormat/>
    <w:rsid w:val="001c6f11"/>
    <w:pPr>
      <w:spacing w:lineRule="auto" w:line="276" w:before="0" w:after="200"/>
      <w:ind w:left="360" w:firstLine="360"/>
    </w:pPr>
    <w:rPr>
      <w:sz w:val="22"/>
      <w:szCs w:val="22"/>
    </w:rPr>
  </w:style>
  <w:style w:type="paragraph" w:styleId="Podtytu">
    <w:name w:val="Subtitle"/>
    <w:basedOn w:val="Normal"/>
    <w:next w:val="Normal"/>
    <w:link w:val="PodtytuZnak"/>
    <w:uiPriority w:val="11"/>
    <w:qFormat/>
    <w:rsid w:val="00110d26"/>
    <w:pPr/>
    <w:rPr>
      <w:rFonts w:ascii="Arial" w:hAnsi="Arial"/>
      <w:b/>
      <w:i/>
      <w:iCs/>
      <w:spacing w:val="15"/>
      <w:sz w:val="18"/>
      <w:szCs w:val="24"/>
    </w:rPr>
  </w:style>
  <w:style w:type="paragraph" w:styleId="Western" w:customStyle="1">
    <w:name w:val="western"/>
    <w:basedOn w:val="Normal"/>
    <w:qFormat/>
    <w:rsid w:val="005016c5"/>
    <w:pPr>
      <w:spacing w:lineRule="auto" w:line="240" w:beforeAutospacing="1" w:afterAutospacing="1"/>
    </w:pPr>
    <w:rPr>
      <w:rFonts w:ascii="Times New Roman" w:hAnsi="Times New Roman"/>
      <w:sz w:val="24"/>
      <w:szCs w:val="24"/>
    </w:rPr>
  </w:style>
  <w:style w:type="paragraph" w:styleId="Xl78" w:customStyle="1">
    <w:name w:val="xl78"/>
    <w:basedOn w:val="Normal"/>
    <w:qFormat/>
    <w:rsid w:val="003b1509"/>
    <w:pPr>
      <w:pBdr>
        <w:top w:val="single" w:sz="4" w:space="0" w:color="000000"/>
        <w:left w:val="single" w:sz="4" w:space="0" w:color="000000"/>
        <w:bottom w:val="single" w:sz="4" w:space="0" w:color="000000"/>
        <w:right w:val="single" w:sz="4" w:space="0" w:color="000000"/>
      </w:pBdr>
      <w:spacing w:lineRule="auto" w:line="240" w:beforeAutospacing="1" w:afterAutospacing="1"/>
    </w:pPr>
    <w:rPr>
      <w:rFonts w:ascii="Arial" w:hAnsi="Arial" w:cs="Arial"/>
      <w:color w:val="FF0000"/>
      <w:sz w:val="24"/>
      <w:szCs w:val="24"/>
    </w:rPr>
  </w:style>
  <w:style w:type="paragraph" w:styleId="Xl86" w:customStyle="1">
    <w:name w:val="xl86"/>
    <w:basedOn w:val="Normal"/>
    <w:qFormat/>
    <w:rsid w:val="00a20bb5"/>
    <w:pPr>
      <w:pBdr>
        <w:top w:val="single" w:sz="4" w:space="0" w:color="000000"/>
        <w:left w:val="single" w:sz="4" w:space="0" w:color="000000"/>
        <w:bottom w:val="single" w:sz="4" w:space="0" w:color="000000"/>
        <w:right w:val="single" w:sz="4" w:space="0" w:color="000000"/>
      </w:pBdr>
      <w:spacing w:lineRule="auto" w:line="240" w:beforeAutospacing="1" w:afterAutospacing="1"/>
      <w:jc w:val="center"/>
    </w:pPr>
    <w:rPr>
      <w:rFonts w:ascii="Times New Roman" w:hAnsi="Times New Roman"/>
      <w:sz w:val="24"/>
      <w:szCs w:val="24"/>
    </w:rPr>
  </w:style>
  <w:style w:type="paragraph" w:styleId="Anita2" w:customStyle="1">
    <w:name w:val="anita2"/>
    <w:basedOn w:val="Normal"/>
    <w:qFormat/>
    <w:rsid w:val="005c6124"/>
    <w:pPr>
      <w:spacing w:lineRule="auto" w:line="360" w:before="0" w:after="0"/>
      <w:jc w:val="both"/>
    </w:pPr>
    <w:rPr>
      <w:rFonts w:ascii="Times New Roman" w:hAnsi="Times New Roman"/>
      <w:b/>
      <w:sz w:val="24"/>
      <w:szCs w:val="20"/>
    </w:rPr>
  </w:style>
  <w:style w:type="paragraph" w:styleId="Teksttreci1" w:customStyle="1">
    <w:name w:val="Tekst treści"/>
    <w:basedOn w:val="Normal"/>
    <w:link w:val="Teksttreci"/>
    <w:qFormat/>
    <w:rsid w:val="007e29e9"/>
    <w:pPr>
      <w:shd w:val="clear" w:color="auto" w:fill="FFFFFF"/>
      <w:spacing w:lineRule="exact" w:line="413" w:before="0" w:after="0"/>
      <w:ind w:hanging="700"/>
      <w:jc w:val="both"/>
    </w:pPr>
    <w:rPr>
      <w:rFonts w:ascii="Times New Roman" w:hAnsi="Times New Roman"/>
    </w:rPr>
  </w:style>
  <w:style w:type="paragraph" w:styleId="BodyTextIndent2">
    <w:name w:val="Body Text Indent 2"/>
    <w:basedOn w:val="Normal"/>
    <w:link w:val="Tekstpodstawowywcity2Znak"/>
    <w:uiPriority w:val="99"/>
    <w:semiHidden/>
    <w:unhideWhenUsed/>
    <w:qFormat/>
    <w:rsid w:val="009c708f"/>
    <w:pPr>
      <w:spacing w:lineRule="auto" w:line="480" w:before="0" w:after="120"/>
      <w:ind w:left="283" w:hanging="0"/>
    </w:pPr>
    <w:rPr/>
  </w:style>
  <w:style w:type="paragraph" w:styleId="Teksttreci161" w:customStyle="1">
    <w:name w:val="Tekst treści (16)"/>
    <w:basedOn w:val="Normal"/>
    <w:link w:val="Teksttreci16"/>
    <w:qFormat/>
    <w:rsid w:val="00e8331a"/>
    <w:pPr>
      <w:shd w:val="clear" w:color="auto" w:fill="FFFFFF"/>
      <w:spacing w:lineRule="auto" w:line="240" w:before="0" w:after="0"/>
    </w:pPr>
    <w:rPr>
      <w:rFonts w:ascii="Arial Narrow" w:hAnsi="Arial Narrow" w:eastAsia="Arial Narrow"/>
      <w:sz w:val="17"/>
      <w:szCs w:val="17"/>
    </w:rPr>
  </w:style>
  <w:style w:type="paragraph" w:styleId="Podpistabeli21" w:customStyle="1">
    <w:name w:val="Podpis tabeli (2)"/>
    <w:basedOn w:val="Normal"/>
    <w:link w:val="Podpistabeli2"/>
    <w:qFormat/>
    <w:rsid w:val="00e8331a"/>
    <w:pPr>
      <w:shd w:val="clear" w:color="auto" w:fill="FFFFFF"/>
      <w:spacing w:lineRule="auto" w:line="240" w:before="0" w:after="0"/>
    </w:pPr>
    <w:rPr>
      <w:rFonts w:ascii="Arial Narrow" w:hAnsi="Arial Narrow" w:eastAsia="Arial Narrow"/>
      <w:sz w:val="17"/>
      <w:szCs w:val="17"/>
    </w:rPr>
  </w:style>
  <w:style w:type="paragraph" w:styleId="Nagwek42" w:customStyle="1">
    <w:name w:val="Nagłówek #4"/>
    <w:basedOn w:val="Normal"/>
    <w:link w:val="Nagwek40"/>
    <w:qFormat/>
    <w:rsid w:val="00e8331a"/>
    <w:pPr>
      <w:shd w:val="clear" w:color="auto" w:fill="FFFFFF"/>
      <w:spacing w:lineRule="auto" w:line="240" w:before="0" w:after="240"/>
      <w:ind w:hanging="600"/>
      <w:outlineLvl w:val="3"/>
    </w:pPr>
    <w:rPr>
      <w:rFonts w:ascii="Arial Narrow" w:hAnsi="Arial Narrow" w:eastAsia="Arial Narrow"/>
      <w:sz w:val="20"/>
      <w:szCs w:val="20"/>
    </w:rPr>
  </w:style>
  <w:style w:type="paragraph" w:styleId="Wyliczrab" w:customStyle="1">
    <w:name w:val="wylicz_rab"/>
    <w:basedOn w:val="Normal"/>
    <w:qFormat/>
    <w:rsid w:val="00f74cc0"/>
    <w:pPr>
      <w:spacing w:lineRule="auto" w:line="360" w:before="60" w:after="60"/>
      <w:ind w:left="283" w:hanging="283"/>
      <w:jc w:val="both"/>
    </w:pPr>
    <w:rPr>
      <w:rFonts w:ascii="Times New Roman" w:hAnsi="Times New Roman" w:eastAsia="HelveticaEE"/>
      <w:sz w:val="24"/>
      <w:szCs w:val="20"/>
    </w:rPr>
  </w:style>
  <w:style w:type="paragraph" w:styleId="StandardZnak" w:customStyle="1">
    <w:name w:val="standard Znak"/>
    <w:basedOn w:val="Normal"/>
    <w:qFormat/>
    <w:rsid w:val="00f74cc0"/>
    <w:pPr>
      <w:tabs>
        <w:tab w:val="left" w:pos="567" w:leader="none"/>
      </w:tabs>
      <w:spacing w:lineRule="auto" w:line="240" w:before="60" w:after="60"/>
      <w:ind w:firstLine="709"/>
      <w:jc w:val="both"/>
    </w:pPr>
    <w:rPr>
      <w:rFonts w:ascii="Arial" w:hAnsi="Arial"/>
      <w:sz w:val="24"/>
      <w:szCs w:val="20"/>
    </w:rPr>
  </w:style>
  <w:style w:type="paragraph" w:styleId="Standard" w:customStyle="1">
    <w:name w:val="standard"/>
    <w:basedOn w:val="Normal"/>
    <w:qFormat/>
    <w:rsid w:val="00336192"/>
    <w:pPr>
      <w:tabs>
        <w:tab w:val="left" w:pos="567" w:leader="none"/>
      </w:tabs>
      <w:suppressAutoHyphens w:val="true"/>
      <w:spacing w:lineRule="auto" w:line="240" w:before="0" w:after="0"/>
      <w:jc w:val="both"/>
    </w:pPr>
    <w:rPr>
      <w:rFonts w:ascii="Arial" w:hAnsi="Arial" w:cs="Arial"/>
      <w:szCs w:val="20"/>
      <w:lang w:eastAsia="ar-SA"/>
    </w:rPr>
  </w:style>
  <w:style w:type="paragraph" w:styleId="Legenda" w:customStyle="1">
    <w:name w:val="legenda"/>
    <w:basedOn w:val="NoSpacing"/>
    <w:next w:val="NoSpacing"/>
    <w:link w:val="legendaZnak"/>
    <w:qFormat/>
    <w:rsid w:val="0090580a"/>
    <w:pPr>
      <w:keepNext w:val="true"/>
      <w:jc w:val="both"/>
    </w:pPr>
    <w:rPr>
      <w:rFonts w:ascii="Arial Narrow" w:hAnsi="Arial Narrow" w:eastAsia="Calibri"/>
      <w:b/>
      <w:sz w:val="20"/>
      <w:szCs w:val="20"/>
    </w:rPr>
  </w:style>
  <w:style w:type="paragraph" w:styleId="Przypisdolny">
    <w:name w:val="Footnote Text"/>
    <w:basedOn w:val="Normal"/>
    <w:link w:val="TekstprzypisudolnegoZnak"/>
    <w:semiHidden/>
    <w:unhideWhenUsed/>
    <w:rsid w:val="00c12bc9"/>
    <w:pPr>
      <w:spacing w:lineRule="auto" w:line="240" w:before="0" w:after="0"/>
    </w:pPr>
    <w:rPr>
      <w:sz w:val="20"/>
      <w:szCs w:val="20"/>
    </w:rPr>
  </w:style>
  <w:style w:type="paragraph" w:styleId="Tekst1" w:customStyle="1">
    <w:name w:val="Tekst 1"/>
    <w:basedOn w:val="Nagwek1"/>
    <w:qFormat/>
    <w:rsid w:val="007639ae"/>
    <w:pPr>
      <w:keepNext w:val="false"/>
      <w:spacing w:lineRule="auto" w:line="240" w:before="0" w:after="0"/>
      <w:ind w:left="170" w:firstLine="454"/>
      <w:jc w:val="both"/>
    </w:pPr>
    <w:rPr>
      <w:rFonts w:cs="Arial"/>
      <w:b w:val="false"/>
      <w:kern w:val="2"/>
      <w:sz w:val="20"/>
      <w:lang w:eastAsia="ar-SA"/>
    </w:rPr>
  </w:style>
  <w:style w:type="paragraph" w:styleId="Zawartoramki">
    <w:name w:val="Zawartość ramki"/>
    <w:basedOn w:val="Normal"/>
    <w:qFormat/>
    <w:pPr/>
    <w:rPr/>
  </w:style>
  <w:style w:type="numbering" w:styleId="NoList" w:default="1">
    <w:name w:val="No List"/>
    <w:uiPriority w:val="99"/>
    <w:semiHidden/>
    <w:unhideWhenUsed/>
    <w:qFormat/>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table" w:styleId="Tabela-Siatka">
    <w:name w:val="Table Grid"/>
    <w:basedOn w:val="Standardowy"/>
    <w:uiPriority w:val="59"/>
    <w:rsid w:val="00fa643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ela-Siatka8">
    <w:name w:val="Table Grid 8"/>
    <w:basedOn w:val="Standardowy"/>
    <w:rsid w:val="005532a0"/>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l2br w:val="none" w:color="auto" w:sz="0" w:space="0"/>
          <w:tr2bl w:val="none" w:color="auto" w:sz="0" w:space="0"/>
        </w:tcBorders>
        <w:shd w:val="solid" w:color="000080" w:fill="FFFFFF"/>
      </w:tcPr>
    </w:tblStylePr>
    <w:tblStylePr w:type="lastRow">
      <w:rPr>
        <w:b/>
        <w:bCs/>
        <w:color w:val="auto"/>
      </w:rPr>
      <w:tblPr/>
      <w:tcPr>
        <w:tcBorders>
          <w:tl2br w:val="none" w:color="auto" w:sz="0" w:space="0"/>
          <w:tr2bl w:val="none" w:color="auto" w:sz="0" w:space="0"/>
        </w:tcBorders>
      </w:tcPr>
    </w:tblStylePr>
    <w:tblStylePr w:type="lastCol">
      <w:rPr>
        <w:b/>
        <w:bCs/>
        <w:color w:val="auto"/>
      </w:rPr>
      <w:tblPr/>
      <w:tcPr>
        <w:tcBorders>
          <w:tl2br w:val="none" w:color="auto" w:sz="0" w:space="0"/>
          <w:tr2bl w:val="none" w:color="auto" w:sz="0" w:space="0"/>
        </w:tcBorders>
      </w:tcPr>
    </w:tblStylePr>
  </w:style>
  <w:style w:type="table" w:styleId="Jasnalistaakcent3">
    <w:name w:val="Light List Accent 3"/>
    <w:basedOn w:val="Standardowy"/>
    <w:uiPriority w:val="61"/>
    <w:rsid w:val="00e31d50"/>
    <w:tblPr>
      <w:tblStyleRowBandSize w:val="1"/>
      <w:tblStyleColBandSize w:val="1"/>
      <w:tblBorders>
        <w:top w:val="single" w:color="9BBB59" w:sz="8" w:space="0"/>
        <w:left w:val="single" w:color="9BBB59" w:sz="8" w:space="0"/>
        <w:bottom w:val="single" w:color="9BBB59" w:sz="8" w:space="0"/>
        <w:right w:val="single" w:color="9BBB59" w:sz="8" w:space="0"/>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color="9BBB59" w:sz="6" w:space="0"/>
          <w:left w:val="single" w:color="9BBB59" w:sz="8" w:space="0"/>
          <w:bottom w:val="single" w:color="9BBB59" w:sz="8" w:space="0"/>
          <w:right w:val="single" w:color="9BBB59" w:sz="8" w:space="0"/>
        </w:tcBorders>
      </w:tcPr>
    </w:tblStylePr>
    <w:tblStylePr w:type="firstCol">
      <w:rPr>
        <w:b/>
        <w:bCs/>
      </w:rPr>
      <w:tblPr/>
    </w:tblStylePr>
    <w:tblStylePr w:type="lastCol">
      <w:rPr>
        <w:b/>
        <w:bCs/>
      </w:rPr>
      <w:tblPr/>
    </w:tblStylePr>
    <w:tblStylePr w:type="band1Vert">
      <w:tblPr/>
      <w:tcPr>
        <w:tcBorders>
          <w:top w:val="single" w:color="9BBB59" w:sz="8" w:space="0"/>
          <w:left w:val="single" w:color="9BBB59" w:sz="8" w:space="0"/>
          <w:bottom w:val="single" w:color="9BBB59" w:sz="8" w:space="0"/>
          <w:right w:val="single" w:color="9BBB59" w:sz="8" w:space="0"/>
        </w:tcBorders>
      </w:tcPr>
    </w:tblStylePr>
    <w:tblStylePr w:type="band1Horz">
      <w:tblPr/>
      <w:tcPr>
        <w:tcBorders>
          <w:top w:val="single" w:color="9BBB59" w:sz="8" w:space="0"/>
          <w:left w:val="single" w:color="9BBB59" w:sz="8" w:space="0"/>
          <w:bottom w:val="single" w:color="9BBB59" w:sz="8" w:space="0"/>
          <w:right w:val="single" w:color="9BBB59" w:sz="8" w:space="0"/>
        </w:tcBorders>
      </w:tcPr>
    </w:tblStylePr>
  </w:style>
  <w:style w:type="table" w:customStyle="1" w:styleId="Jasnecieniowanieakcent11">
    <w:name w:val="Jasne cieniowanie — akcent 11"/>
    <w:basedOn w:val="Standardowy"/>
    <w:uiPriority w:val="60"/>
    <w:rsid w:val="007640a0"/>
    <w:rPr>
      <w:color w:val="365F91"/>
    </w:rPr>
    <w:tblPr>
      <w:tblStyleRowBandSize w:val="1"/>
      <w:tblStyleColBandSize w:val="1"/>
      <w:tblBorders>
        <w:top w:val="single" w:color="4F81BD" w:sz="8" w:space="0"/>
        <w:bottom w:val="single" w:color="4F81BD" w:sz="8" w:space="0"/>
      </w:tblBorders>
    </w:tblPr>
    <w:tblStylePr w:type="firstRow">
      <w:pPr>
        <w:spacing w:before="0" w:after="0" w:line="240" w:lineRule="auto"/>
      </w:pPr>
      <w:rPr>
        <w:b/>
        <w:bCs/>
      </w:rPr>
      <w:tblPr/>
      <w:tcPr>
        <w:tcBorders>
          <w:top w:val="single" w:color="4F81BD" w:sz="8" w:space="0"/>
          <w:left w:val="nil"/>
          <w:bottom w:val="single" w:color="4F81BD" w:sz="8" w:space="0"/>
          <w:right w:val="nil"/>
          <w:insideH w:val="nil"/>
          <w:insideV w:val="nil"/>
        </w:tcBorders>
      </w:tcPr>
    </w:tblStylePr>
    <w:tblStylePr w:type="lastRow">
      <w:pPr>
        <w:spacing w:before="0" w:after="0" w:line="240" w:lineRule="auto"/>
      </w:pPr>
      <w:rPr>
        <w:b/>
        <w:bCs/>
      </w:rPr>
      <w:tblPr/>
      <w:tcPr>
        <w:tcBorders>
          <w:top w:val="single" w:color="4F81BD" w:sz="8" w:space="0"/>
          <w:left w:val="nil"/>
          <w:bottom w:val="single" w:color="4F81BD"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Jasnalistaakcent11">
    <w:name w:val="Jasna lista — akcent 11"/>
    <w:basedOn w:val="Standardowy"/>
    <w:uiPriority w:val="61"/>
    <w:rsid w:val="007640a0"/>
    <w:tblPr>
      <w:tblStyleRowBandSize w:val="1"/>
      <w:tblStyleColBandSize w:val="1"/>
      <w:tblBorders>
        <w:top w:val="single" w:color="4F81BD" w:sz="8" w:space="0"/>
        <w:left w:val="single" w:color="4F81BD" w:sz="8" w:space="0"/>
        <w:bottom w:val="single" w:color="4F81BD" w:sz="8" w:space="0"/>
        <w:right w:val="single" w:color="4F81BD" w:sz="8" w:space="0"/>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color="4F81BD" w:sz="6" w:space="0"/>
          <w:left w:val="single" w:color="4F81BD" w:sz="8" w:space="0"/>
          <w:bottom w:val="single" w:color="4F81BD" w:sz="8" w:space="0"/>
          <w:right w:val="single" w:color="4F81BD" w:sz="8" w:space="0"/>
        </w:tcBorders>
      </w:tcPr>
    </w:tblStylePr>
    <w:tblStylePr w:type="firstCol">
      <w:rPr>
        <w:b/>
        <w:bCs/>
      </w:rPr>
      <w:tblPr/>
    </w:tblStylePr>
    <w:tblStylePr w:type="lastCol">
      <w:rPr>
        <w:b/>
        <w:bCs/>
      </w:rPr>
      <w:tblPr/>
    </w:tblStylePr>
    <w:tblStylePr w:type="band1Vert">
      <w:tblPr/>
      <w:tcPr>
        <w:tcBorders>
          <w:top w:val="single" w:color="4F81BD" w:sz="8" w:space="0"/>
          <w:left w:val="single" w:color="4F81BD" w:sz="8" w:space="0"/>
          <w:bottom w:val="single" w:color="4F81BD" w:sz="8" w:space="0"/>
          <w:right w:val="single" w:color="4F81BD" w:sz="8" w:space="0"/>
        </w:tcBorders>
      </w:tcPr>
    </w:tblStylePr>
    <w:tblStylePr w:type="band1Horz">
      <w:tblPr/>
      <w:tcPr>
        <w:tcBorders>
          <w:top w:val="single" w:color="4F81BD" w:sz="8" w:space="0"/>
          <w:left w:val="single" w:color="4F81BD" w:sz="8" w:space="0"/>
          <w:bottom w:val="single" w:color="4F81BD" w:sz="8" w:space="0"/>
          <w:right w:val="single" w:color="4F81BD" w:sz="8" w:space="0"/>
        </w:tcBorders>
      </w:tcPr>
    </w:tblStylePr>
  </w:style>
  <w:style w:type="table" w:styleId="Jasnalistaakcent4">
    <w:name w:val="Light List Accent 4"/>
    <w:basedOn w:val="Standardowy"/>
    <w:uiPriority w:val="61"/>
    <w:rsid w:val="0068535f"/>
    <w:tblPr>
      <w:tblStyleRowBandSize w:val="1"/>
      <w:tblStyleColBandSize w:val="1"/>
      <w:tblBorders>
        <w:top w:val="single" w:color="8064A2" w:sz="8" w:space="0"/>
        <w:left w:val="single" w:color="8064A2" w:sz="8" w:space="0"/>
        <w:bottom w:val="single" w:color="8064A2" w:sz="8" w:space="0"/>
        <w:right w:val="single" w:color="8064A2" w:sz="8" w:space="0"/>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color="8064A2" w:sz="6" w:space="0"/>
          <w:left w:val="single" w:color="8064A2" w:sz="8" w:space="0"/>
          <w:bottom w:val="single" w:color="8064A2" w:sz="8" w:space="0"/>
          <w:right w:val="single" w:color="8064A2" w:sz="8" w:space="0"/>
        </w:tcBorders>
      </w:tcPr>
    </w:tblStylePr>
    <w:tblStylePr w:type="firstCol">
      <w:rPr>
        <w:b/>
        <w:bCs/>
      </w:rPr>
      <w:tblPr/>
    </w:tblStylePr>
    <w:tblStylePr w:type="lastCol">
      <w:rPr>
        <w:b/>
        <w:bCs/>
      </w:rPr>
      <w:tblPr/>
    </w:tblStylePr>
    <w:tblStylePr w:type="band1Vert">
      <w:tblPr/>
      <w:tcPr>
        <w:tcBorders>
          <w:top w:val="single" w:color="8064A2" w:sz="8" w:space="0"/>
          <w:left w:val="single" w:color="8064A2" w:sz="8" w:space="0"/>
          <w:bottom w:val="single" w:color="8064A2" w:sz="8" w:space="0"/>
          <w:right w:val="single" w:color="8064A2" w:sz="8" w:space="0"/>
        </w:tcBorders>
      </w:tcPr>
    </w:tblStylePr>
    <w:tblStylePr w:type="band1Horz">
      <w:tblPr/>
      <w:tcPr>
        <w:tcBorders>
          <w:top w:val="single" w:color="8064A2" w:sz="8" w:space="0"/>
          <w:left w:val="single" w:color="8064A2" w:sz="8" w:space="0"/>
          <w:bottom w:val="single" w:color="8064A2" w:sz="8" w:space="0"/>
          <w:right w:val="single" w:color="8064A2" w:sz="8" w:space="0"/>
        </w:tcBorders>
      </w:tcPr>
    </w:tblStylePr>
  </w:style>
  <w:style w:type="table" w:styleId="Jasnalistaakcent2">
    <w:name w:val="Light List Accent 2"/>
    <w:basedOn w:val="Standardowy"/>
    <w:uiPriority w:val="61"/>
    <w:rsid w:val="00267fc9"/>
    <w:tblPr>
      <w:tblStyleRowBandSize w:val="1"/>
      <w:tblStyleColBandSize w:val="1"/>
      <w:tblBorders>
        <w:top w:val="single" w:color="C0504D" w:sz="8" w:space="0"/>
        <w:left w:val="single" w:color="C0504D" w:sz="8" w:space="0"/>
        <w:bottom w:val="single" w:color="C0504D" w:sz="8" w:space="0"/>
        <w:right w:val="single" w:color="C0504D" w:sz="8" w:space="0"/>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color="C0504D" w:sz="6" w:space="0"/>
          <w:left w:val="single" w:color="C0504D" w:sz="8" w:space="0"/>
          <w:bottom w:val="single" w:color="C0504D" w:sz="8" w:space="0"/>
          <w:right w:val="single" w:color="C0504D" w:sz="8" w:space="0"/>
        </w:tcBorders>
      </w:tcPr>
    </w:tblStylePr>
    <w:tblStylePr w:type="firstCol">
      <w:rPr>
        <w:b/>
        <w:bCs/>
      </w:rPr>
      <w:tblPr/>
    </w:tblStylePr>
    <w:tblStylePr w:type="lastCol">
      <w:rPr>
        <w:b/>
        <w:bCs/>
      </w:rPr>
      <w:tblPr/>
    </w:tblStylePr>
    <w:tblStylePr w:type="band1Vert">
      <w:tblPr/>
      <w:tcPr>
        <w:tcBorders>
          <w:top w:val="single" w:color="C0504D" w:sz="8" w:space="0"/>
          <w:left w:val="single" w:color="C0504D" w:sz="8" w:space="0"/>
          <w:bottom w:val="single" w:color="C0504D" w:sz="8" w:space="0"/>
          <w:right w:val="single" w:color="C0504D" w:sz="8" w:space="0"/>
        </w:tcBorders>
      </w:tcPr>
    </w:tblStylePr>
    <w:tblStylePr w:type="band1Horz">
      <w:tblPr/>
      <w:tcPr>
        <w:tcBorders>
          <w:top w:val="single" w:color="C0504D" w:sz="8" w:space="0"/>
          <w:left w:val="single" w:color="C0504D" w:sz="8" w:space="0"/>
          <w:bottom w:val="single" w:color="C0504D" w:sz="8" w:space="0"/>
          <w:right w:val="single" w:color="C0504D" w:sz="8" w:space="0"/>
        </w:tcBorders>
      </w:tcPr>
    </w:tblStylePr>
  </w:style>
  <w:style w:type="table" w:styleId="Jasnasiatkaakcent2">
    <w:name w:val="Light Grid Accent 2"/>
    <w:basedOn w:val="Standardowy"/>
    <w:uiPriority w:val="62"/>
    <w:rsid w:val="009c6279"/>
    <w:tblPr>
      <w:tblStyleRowBandSize w:val="1"/>
      <w:tblStyleColBandSize w:val="1"/>
      <w:tblBorders>
        <w:top w:val="single" w:color="C0504D" w:sz="8" w:space="0"/>
        <w:left w:val="single" w:color="C0504D" w:sz="8" w:space="0"/>
        <w:bottom w:val="single" w:color="C0504D" w:sz="8" w:space="0"/>
        <w:right w:val="single" w:color="C0504D" w:sz="8" w:space="0"/>
        <w:insideH w:val="single" w:color="C0504D" w:sz="8" w:space="0"/>
        <w:insideV w:val="single" w:color="C0504D" w:sz="8" w:space="0"/>
      </w:tblBorders>
    </w:tblPr>
    <w:tblStylePr w:type="firstRow">
      <w:pPr>
        <w:spacing w:before="0" w:after="0" w:line="240" w:lineRule="auto"/>
      </w:pPr>
      <w:rPr>
        <w:b/>
        <w:bCs/>
      </w:rPr>
      <w:tblPr/>
      <w:tcPr>
        <w:tcBorders>
          <w:top w:val="single" w:color="C0504D" w:sz="8" w:space="0"/>
          <w:left w:val="single" w:color="C0504D" w:sz="8" w:space="0"/>
          <w:bottom w:val="single" w:color="C0504D" w:sz="18" w:space="0"/>
          <w:right w:val="single" w:color="C0504D" w:sz="8" w:space="0"/>
          <w:insideH w:val="nil"/>
          <w:insideV w:val="single" w:color="C0504D" w:sz="8" w:space="0"/>
        </w:tcBorders>
      </w:tcPr>
    </w:tblStylePr>
    <w:tblStylePr w:type="lastRow">
      <w:pPr>
        <w:spacing w:before="0" w:after="0" w:line="240" w:lineRule="auto"/>
      </w:pPr>
      <w:rPr>
        <w:b/>
        <w:bCs/>
      </w:rPr>
      <w:tblPr/>
      <w:tcPr>
        <w:tcBorders>
          <w:top w:val="double" w:color="C0504D" w:sz="6" w:space="0"/>
          <w:left w:val="single" w:color="C0504D" w:sz="8" w:space="0"/>
          <w:bottom w:val="single" w:color="C0504D" w:sz="8" w:space="0"/>
          <w:right w:val="single" w:color="C0504D" w:sz="8" w:space="0"/>
          <w:insideH w:val="nil"/>
          <w:insideV w:val="single" w:color="C0504D" w:sz="8" w:space="0"/>
        </w:tcBorders>
      </w:tcPr>
    </w:tblStylePr>
    <w:tblStylePr w:type="firstCol">
      <w:rPr>
        <w:b/>
        <w:bCs/>
      </w:rPr>
      <w:tblPr/>
    </w:tblStylePr>
    <w:tblStylePr w:type="lastCol">
      <w:rPr>
        <w:b/>
        <w:bCs/>
      </w:rPr>
      <w:tblPr/>
      <w:tcPr>
        <w:tcBorders>
          <w:top w:val="single" w:color="C0504D" w:sz="8" w:space="0"/>
          <w:left w:val="single" w:color="C0504D" w:sz="8" w:space="0"/>
          <w:bottom w:val="single" w:color="C0504D" w:sz="8" w:space="0"/>
          <w:right w:val="single" w:color="C0504D" w:sz="8" w:space="0"/>
        </w:tcBorders>
      </w:tcPr>
    </w:tblStylePr>
    <w:tblStylePr w:type="band1Vert">
      <w:tblPr/>
      <w:tcPr>
        <w:tcBorders>
          <w:top w:val="single" w:color="C0504D" w:sz="8" w:space="0"/>
          <w:left w:val="single" w:color="C0504D" w:sz="8" w:space="0"/>
          <w:bottom w:val="single" w:color="C0504D" w:sz="8" w:space="0"/>
          <w:right w:val="single" w:color="C0504D" w:sz="8" w:space="0"/>
        </w:tcBorders>
        <w:shd w:val="clear" w:color="auto" w:fill="EFD3D2"/>
      </w:tcPr>
    </w:tblStylePr>
    <w:tblStylePr w:type="band1Horz">
      <w:tblPr/>
      <w:tcPr>
        <w:tcBorders>
          <w:top w:val="single" w:color="C0504D" w:sz="8" w:space="0"/>
          <w:left w:val="single" w:color="C0504D" w:sz="8" w:space="0"/>
          <w:bottom w:val="single" w:color="C0504D" w:sz="8" w:space="0"/>
          <w:right w:val="single" w:color="C0504D" w:sz="8" w:space="0"/>
          <w:insideV w:val="single" w:color="C0504D" w:sz="8" w:space="0"/>
        </w:tcBorders>
        <w:shd w:val="clear" w:color="auto" w:fill="EFD3D2"/>
      </w:tcPr>
    </w:tblStylePr>
    <w:tblStylePr w:type="band2Horz">
      <w:tblPr/>
      <w:tcPr>
        <w:tcBorders>
          <w:top w:val="single" w:color="C0504D" w:sz="8" w:space="0"/>
          <w:left w:val="single" w:color="C0504D" w:sz="8" w:space="0"/>
          <w:bottom w:val="single" w:color="C0504D" w:sz="8" w:space="0"/>
          <w:right w:val="single" w:color="C0504D" w:sz="8" w:space="0"/>
          <w:insideV w:val="single" w:color="C0504D" w:sz="8" w:space="0"/>
        </w:tcBorders>
      </w:tcPr>
    </w:tblStylePr>
  </w:style>
  <w:style w:type="table" w:styleId="Jasnasiatkaakcent6">
    <w:name w:val="Light Grid Accent 6"/>
    <w:basedOn w:val="Standardowy"/>
    <w:uiPriority w:val="62"/>
    <w:rsid w:val="00d440ea"/>
    <w:tblPr>
      <w:tblStyleRowBandSize w:val="1"/>
      <w:tblStyleColBandSize w:val="1"/>
      <w:tblBorders>
        <w:top w:val="single" w:color="F79646" w:sz="8" w:space="0"/>
        <w:left w:val="single" w:color="F79646" w:sz="8" w:space="0"/>
        <w:bottom w:val="single" w:color="F79646" w:sz="8" w:space="0"/>
        <w:right w:val="single" w:color="F79646" w:sz="8" w:space="0"/>
        <w:insideH w:val="single" w:color="F79646" w:sz="8" w:space="0"/>
        <w:insideV w:val="single" w:color="F79646" w:sz="8" w:space="0"/>
      </w:tblBorders>
    </w:tblPr>
    <w:tblStylePr w:type="firstRow">
      <w:pPr>
        <w:spacing w:before="0" w:after="0" w:line="240" w:lineRule="auto"/>
      </w:pPr>
      <w:rPr>
        <w:b/>
        <w:bCs/>
      </w:rPr>
      <w:tblPr/>
      <w:tcPr>
        <w:tcBorders>
          <w:top w:val="single" w:color="F79646" w:sz="8" w:space="0"/>
          <w:left w:val="single" w:color="F79646" w:sz="8" w:space="0"/>
          <w:bottom w:val="single" w:color="F79646" w:sz="18" w:space="0"/>
          <w:right w:val="single" w:color="F79646" w:sz="8" w:space="0"/>
          <w:insideH w:val="nil"/>
          <w:insideV w:val="single" w:color="F79646" w:sz="8" w:space="0"/>
        </w:tcBorders>
      </w:tcPr>
    </w:tblStylePr>
    <w:tblStylePr w:type="lastRow">
      <w:pPr>
        <w:spacing w:before="0" w:after="0" w:line="240" w:lineRule="auto"/>
      </w:pPr>
      <w:rPr>
        <w:b/>
        <w:bCs/>
      </w:rPr>
      <w:tblPr/>
      <w:tcPr>
        <w:tcBorders>
          <w:top w:val="double" w:color="F79646" w:sz="6" w:space="0"/>
          <w:left w:val="single" w:color="F79646" w:sz="8" w:space="0"/>
          <w:bottom w:val="single" w:color="F79646" w:sz="8" w:space="0"/>
          <w:right w:val="single" w:color="F79646" w:sz="8" w:space="0"/>
          <w:insideH w:val="nil"/>
          <w:insideV w:val="single" w:color="F79646" w:sz="8" w:space="0"/>
        </w:tcBorders>
      </w:tcPr>
    </w:tblStylePr>
    <w:tblStylePr w:type="firstCol">
      <w:rPr>
        <w:b/>
        <w:bCs/>
      </w:rPr>
      <w:tblPr/>
    </w:tblStylePr>
    <w:tblStylePr w:type="lastCol">
      <w:rPr>
        <w:b/>
        <w:bCs/>
      </w:rPr>
      <w:tblPr/>
      <w:tcPr>
        <w:tcBorders>
          <w:top w:val="single" w:color="F79646" w:sz="8" w:space="0"/>
          <w:left w:val="single" w:color="F79646" w:sz="8" w:space="0"/>
          <w:bottom w:val="single" w:color="F79646" w:sz="8" w:space="0"/>
          <w:right w:val="single" w:color="F79646" w:sz="8" w:space="0"/>
        </w:tcBorders>
      </w:tcPr>
    </w:tblStylePr>
    <w:tblStylePr w:type="band1Vert">
      <w:tblPr/>
      <w:tcPr>
        <w:tcBorders>
          <w:top w:val="single" w:color="F79646" w:sz="8" w:space="0"/>
          <w:left w:val="single" w:color="F79646" w:sz="8" w:space="0"/>
          <w:bottom w:val="single" w:color="F79646" w:sz="8" w:space="0"/>
          <w:right w:val="single" w:color="F79646" w:sz="8" w:space="0"/>
        </w:tcBorders>
        <w:shd w:val="clear" w:color="auto" w:fill="FDE4D0"/>
      </w:tcPr>
    </w:tblStylePr>
    <w:tblStylePr w:type="band1Horz">
      <w:tblPr/>
      <w:tcPr>
        <w:tcBorders>
          <w:top w:val="single" w:color="F79646" w:sz="8" w:space="0"/>
          <w:left w:val="single" w:color="F79646" w:sz="8" w:space="0"/>
          <w:bottom w:val="single" w:color="F79646" w:sz="8" w:space="0"/>
          <w:right w:val="single" w:color="F79646" w:sz="8" w:space="0"/>
          <w:insideV w:val="single" w:color="F79646" w:sz="8" w:space="0"/>
        </w:tcBorders>
        <w:shd w:val="clear" w:color="auto" w:fill="FDE4D0"/>
      </w:tcPr>
    </w:tblStylePr>
    <w:tblStylePr w:type="band2Horz">
      <w:tblPr/>
      <w:tcPr>
        <w:tcBorders>
          <w:top w:val="single" w:color="F79646" w:sz="8" w:space="0"/>
          <w:left w:val="single" w:color="F79646" w:sz="8" w:space="0"/>
          <w:bottom w:val="single" w:color="F79646" w:sz="8" w:space="0"/>
          <w:right w:val="single" w:color="F79646" w:sz="8" w:space="0"/>
          <w:insideV w:val="single" w:color="F79646" w:sz="8" w:space="0"/>
        </w:tcBorders>
      </w:tcPr>
    </w:tblStylePr>
  </w:style>
  <w:style w:type="table" w:customStyle="1" w:styleId="redniecieniowanie1akcent11">
    <w:name w:val="Średnie cieniowanie 1 — akcent 11"/>
    <w:basedOn w:val="Standardowy"/>
    <w:uiPriority w:val="63"/>
    <w:rsid w:val="00c450fb"/>
    <w:tblPr>
      <w:tblStyleRowBandSize w:val="1"/>
      <w:tblStyleColBandSize w:val="1"/>
      <w:tblBorders>
        <w:top w:val="single" w:color="7BA0CD" w:sz="8" w:space="0"/>
        <w:left w:val="single" w:color="7BA0CD" w:sz="8" w:space="0"/>
        <w:bottom w:val="single" w:color="7BA0CD" w:sz="8" w:space="0"/>
        <w:right w:val="single" w:color="7BA0CD" w:sz="8" w:space="0"/>
        <w:insideH w:val="single" w:color="7BA0CD" w:sz="8" w:space="0"/>
      </w:tblBorders>
    </w:tblPr>
    <w:tblStylePr w:type="firstRow">
      <w:pPr>
        <w:spacing w:before="0" w:after="0" w:line="240" w:lineRule="auto"/>
      </w:pPr>
      <w:rPr>
        <w:b/>
        <w:bCs/>
        <w:color w:val="FFFFFF"/>
      </w:rPr>
      <w:tblPr/>
      <w:tcPr>
        <w:tcBorders>
          <w:top w:val="single" w:color="7BA0CD" w:sz="8" w:space="0"/>
          <w:left w:val="single" w:color="7BA0CD" w:sz="8" w:space="0"/>
          <w:bottom w:val="single" w:color="7BA0CD" w:sz="8" w:space="0"/>
          <w:right w:val="single" w:color="7BA0CD" w:sz="8" w:space="0"/>
          <w:insideH w:val="nil"/>
          <w:insideV w:val="nil"/>
        </w:tcBorders>
        <w:shd w:val="clear" w:color="auto" w:fill="4F81BD"/>
      </w:tcPr>
    </w:tblStylePr>
    <w:tblStylePr w:type="lastRow">
      <w:pPr>
        <w:spacing w:before="0" w:after="0" w:line="240" w:lineRule="auto"/>
      </w:pPr>
      <w:rPr>
        <w:b/>
        <w:bCs/>
      </w:rPr>
      <w:tblPr/>
      <w:tcPr>
        <w:tcBorders>
          <w:top w:val="double" w:color="7BA0CD" w:sz="6" w:space="0"/>
          <w:left w:val="single" w:color="7BA0CD" w:sz="8" w:space="0"/>
          <w:bottom w:val="single" w:color="7BA0CD" w:sz="8" w:space="0"/>
          <w:right w:val="single" w:color="7BA0CD" w:sz="8" w:space="0"/>
          <w:insideH w:val="nil"/>
          <w:insideV w:val="nil"/>
        </w:tcBorders>
      </w:tcPr>
    </w:tblStylePr>
    <w:tblStylePr w:type="firstCol">
      <w:rPr>
        <w:b/>
        <w:bCs/>
      </w:rPr>
      <w:tblPr/>
    </w:tblStylePr>
    <w:tblStylePr w:type="lastCol">
      <w:rPr>
        <w:b/>
        <w:bCs/>
      </w:rPr>
      <w:tbl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Jasnecieniowanieakcent12">
    <w:name w:val="Jasne cieniowanie — akcent 12"/>
    <w:basedOn w:val="Standardowy"/>
    <w:uiPriority w:val="60"/>
    <w:rsid w:val="007f314f"/>
    <w:rPr>
      <w:color w:val="365F91"/>
    </w:rPr>
    <w:tblPr>
      <w:tblStyleRowBandSize w:val="1"/>
      <w:tblStyleColBandSize w:val="1"/>
      <w:tblBorders>
        <w:top w:val="single" w:color="4F81BD" w:sz="8" w:space="0"/>
        <w:bottom w:val="single" w:color="4F81BD" w:sz="8" w:space="0"/>
      </w:tblBorders>
    </w:tblPr>
    <w:tblStylePr w:type="firstRow">
      <w:pPr>
        <w:spacing w:before="0" w:after="0" w:line="240" w:lineRule="auto"/>
      </w:pPr>
      <w:rPr>
        <w:b/>
        <w:bCs/>
      </w:rPr>
      <w:tblPr/>
      <w:tcPr>
        <w:tcBorders>
          <w:top w:val="single" w:color="4F81BD" w:sz="8" w:space="0"/>
          <w:left w:val="nil"/>
          <w:bottom w:val="single" w:color="4F81BD" w:sz="8" w:space="0"/>
          <w:right w:val="nil"/>
          <w:insideH w:val="nil"/>
          <w:insideV w:val="nil"/>
        </w:tcBorders>
      </w:tcPr>
    </w:tblStylePr>
    <w:tblStylePr w:type="lastRow">
      <w:pPr>
        <w:spacing w:before="0" w:after="0" w:line="240" w:lineRule="auto"/>
      </w:pPr>
      <w:rPr>
        <w:b/>
        <w:bCs/>
      </w:rPr>
      <w:tblPr/>
      <w:tcPr>
        <w:tcBorders>
          <w:top w:val="single" w:color="4F81BD" w:sz="8" w:space="0"/>
          <w:left w:val="nil"/>
          <w:bottom w:val="single" w:color="4F81BD"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redniecieniowanie2akcent4">
    <w:name w:val="Medium Shading 2 Accent 4"/>
    <w:basedOn w:val="Standardowy"/>
    <w:uiPriority w:val="64"/>
    <w:rsid w:val="00db28ba"/>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nil"/>
          <w:bottom w:val="single" w:color="auto" w:sz="18" w:space="0"/>
          <w:right w:val="nil"/>
          <w:insideH w:val="nil"/>
          <w:insideV w:val="nil"/>
        </w:tcBorders>
        <w:shd w:val="clear" w:color="auto" w:fill="8064A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blPr/>
      <w:tcPr>
        <w:tcBorders>
          <w:top w:val="nil"/>
          <w:left w:val="nil"/>
          <w:bottom w:val="single" w:color="auto" w:sz="18" w:space="0"/>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rPr>
      <w:tblPr/>
      <w:tcPr>
        <w:tcBorders>
          <w:top w:val="single" w:color="auto" w:sz="18" w:space="0"/>
          <w:left w:val="nil"/>
          <w:bottom w:val="single" w:color="auto" w:sz="18" w:space="0"/>
          <w:right w:val="nil"/>
          <w:insideH w:val="nil"/>
          <w:insideV w:val="nil"/>
        </w:tcBorders>
      </w:tcPr>
    </w:tblStylePr>
  </w:style>
  <w:style w:type="table" w:customStyle="1" w:styleId="redniecieniowanie2akcent11">
    <w:name w:val="Średnie cieniowanie 2 — akcent 11"/>
    <w:basedOn w:val="Standardowy"/>
    <w:uiPriority w:val="64"/>
    <w:rsid w:val="00d249d6"/>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nil"/>
          <w:bottom w:val="single" w:color="auto" w:sz="18" w:space="0"/>
          <w:right w:val="nil"/>
          <w:insideH w:val="nil"/>
          <w:insideV w:val="nil"/>
        </w:tcBorders>
        <w:shd w:val="clear" w:color="auto" w:fill="4F81BD"/>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cPr>
    </w:tblStylePr>
    <w:tblStylePr w:type="firstCol">
      <w:rPr>
        <w:b/>
        <w:bCs/>
        <w:color w:val="FFFFFF"/>
      </w:rPr>
      <w:tblPr/>
      <w:tcPr>
        <w:tcBorders>
          <w:top w:val="nil"/>
          <w:left w:val="nil"/>
          <w:bottom w:val="single" w:color="auto" w:sz="18" w:space="0"/>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rPr>
      <w:tblPr/>
      <w:tcPr>
        <w:tcBorders>
          <w:top w:val="single" w:color="auto" w:sz="18" w:space="0"/>
          <w:left w:val="nil"/>
          <w:bottom w:val="single" w:color="auto" w:sz="18" w:space="0"/>
          <w:right w:val="nil"/>
          <w:insideH w:val="nil"/>
          <w:insideV w:val="nil"/>
        </w:tcBorders>
      </w:tcPr>
    </w:tblStylePr>
  </w:style>
  <w:style w:type="table" w:customStyle="1" w:styleId="Jasnasiatkaakcent11">
    <w:name w:val="Jasna siatka — akcent 11"/>
    <w:basedOn w:val="Standardowy"/>
    <w:uiPriority w:val="62"/>
    <w:rsid w:val="00160ea6"/>
    <w:tblPr>
      <w:tblStyleRowBandSize w:val="1"/>
      <w:tblStyleColBandSize w:val="1"/>
      <w:tblBorders>
        <w:top w:val="single" w:color="4F81BD" w:sz="8" w:space="0"/>
        <w:left w:val="single" w:color="4F81BD" w:sz="8" w:space="0"/>
        <w:bottom w:val="single" w:color="4F81BD" w:sz="8" w:space="0"/>
        <w:right w:val="single" w:color="4F81BD" w:sz="8" w:space="0"/>
        <w:insideH w:val="single" w:color="4F81BD" w:sz="8" w:space="0"/>
        <w:insideV w:val="single" w:color="4F81BD" w:sz="8" w:space="0"/>
      </w:tblBorders>
    </w:tblPr>
    <w:tblStylePr w:type="firstRow">
      <w:pPr>
        <w:spacing w:before="0" w:after="0" w:line="240" w:lineRule="auto"/>
      </w:pPr>
      <w:rPr>
        <w:b/>
        <w:bCs/>
      </w:rPr>
      <w:tblPr/>
      <w:tcPr>
        <w:tcBorders>
          <w:top w:val="single" w:color="4F81BD" w:sz="8" w:space="0"/>
          <w:left w:val="single" w:color="4F81BD" w:sz="8" w:space="0"/>
          <w:bottom w:val="single" w:color="4F81BD" w:sz="18" w:space="0"/>
          <w:right w:val="single" w:color="4F81BD" w:sz="8" w:space="0"/>
          <w:insideH w:val="nil"/>
          <w:insideV w:val="single" w:color="4F81BD" w:sz="8" w:space="0"/>
        </w:tcBorders>
      </w:tcPr>
    </w:tblStylePr>
    <w:tblStylePr w:type="lastRow">
      <w:pPr>
        <w:spacing w:before="0" w:after="0" w:line="240" w:lineRule="auto"/>
      </w:pPr>
      <w:rPr>
        <w:b/>
        <w:bCs/>
      </w:rPr>
      <w:tblPr/>
      <w:tcPr>
        <w:tcBorders>
          <w:top w:val="double" w:color="4F81BD" w:sz="6" w:space="0"/>
          <w:left w:val="single" w:color="4F81BD" w:sz="8" w:space="0"/>
          <w:bottom w:val="single" w:color="4F81BD" w:sz="8" w:space="0"/>
          <w:right w:val="single" w:color="4F81BD" w:sz="8" w:space="0"/>
          <w:insideH w:val="nil"/>
          <w:insideV w:val="single" w:color="4F81BD" w:sz="8" w:space="0"/>
        </w:tcBorders>
      </w:tcPr>
    </w:tblStylePr>
    <w:tblStylePr w:type="firstCol">
      <w:rPr>
        <w:b/>
        <w:bCs/>
      </w:rPr>
      <w:tblPr/>
    </w:tblStylePr>
    <w:tblStylePr w:type="lastCol">
      <w:rPr>
        <w:b/>
        <w:bCs/>
      </w:rPr>
      <w:tblPr/>
      <w:tcPr>
        <w:tcBorders>
          <w:top w:val="single" w:color="4F81BD" w:sz="8" w:space="0"/>
          <w:left w:val="single" w:color="4F81BD" w:sz="8" w:space="0"/>
          <w:bottom w:val="single" w:color="4F81BD" w:sz="8" w:space="0"/>
          <w:right w:val="single" w:color="4F81BD" w:sz="8" w:space="0"/>
        </w:tcBorders>
      </w:tcPr>
    </w:tblStylePr>
    <w:tblStylePr w:type="band1Vert">
      <w:tblPr/>
      <w:tcPr>
        <w:tcBorders>
          <w:top w:val="single" w:color="4F81BD" w:sz="8" w:space="0"/>
          <w:left w:val="single" w:color="4F81BD" w:sz="8" w:space="0"/>
          <w:bottom w:val="single" w:color="4F81BD" w:sz="8" w:space="0"/>
          <w:right w:val="single" w:color="4F81BD" w:sz="8" w:space="0"/>
        </w:tcBorders>
        <w:shd w:val="clear" w:color="auto" w:fill="D3DFEE"/>
      </w:tcPr>
    </w:tblStylePr>
    <w:tblStylePr w:type="band1Horz">
      <w:tblPr/>
      <w:tcPr>
        <w:tcBorders>
          <w:top w:val="single" w:color="4F81BD" w:sz="8" w:space="0"/>
          <w:left w:val="single" w:color="4F81BD" w:sz="8" w:space="0"/>
          <w:bottom w:val="single" w:color="4F81BD" w:sz="8" w:space="0"/>
          <w:right w:val="single" w:color="4F81BD" w:sz="8" w:space="0"/>
          <w:insideV w:val="single" w:color="4F81BD" w:sz="8" w:space="0"/>
        </w:tcBorders>
        <w:shd w:val="clear" w:color="auto" w:fill="D3DFEE"/>
      </w:tcPr>
    </w:tblStylePr>
    <w:tblStylePr w:type="band2Horz">
      <w:tblPr/>
      <w:tcPr>
        <w:tcBorders>
          <w:top w:val="single" w:color="4F81BD" w:sz="8" w:space="0"/>
          <w:left w:val="single" w:color="4F81BD" w:sz="8" w:space="0"/>
          <w:bottom w:val="single" w:color="4F81BD" w:sz="8" w:space="0"/>
          <w:right w:val="single" w:color="4F81BD" w:sz="8" w:space="0"/>
          <w:insideV w:val="single" w:color="4F81BD" w:sz="8" w:space="0"/>
        </w:tcBorders>
      </w:tcPr>
    </w:tblStylePr>
  </w:style>
  <w:style w:type="table" w:styleId="Jasnalistaakcent5">
    <w:name w:val="Light List Accent 5"/>
    <w:basedOn w:val="Standardowy"/>
    <w:uiPriority w:val="61"/>
    <w:rsid w:val="00160ea6"/>
    <w:tblPr>
      <w:tblStyleRowBandSize w:val="1"/>
      <w:tblStyleColBandSize w:val="1"/>
      <w:tblBorders>
        <w:top w:val="single" w:color="4BACC6" w:sz="8" w:space="0"/>
        <w:left w:val="single" w:color="4BACC6" w:sz="8" w:space="0"/>
        <w:bottom w:val="single" w:color="4BACC6" w:sz="8" w:space="0"/>
        <w:right w:val="single" w:color="4BACC6" w:sz="8" w:space="0"/>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color="4BACC6" w:sz="6" w:space="0"/>
          <w:left w:val="single" w:color="4BACC6" w:sz="8" w:space="0"/>
          <w:bottom w:val="single" w:color="4BACC6" w:sz="8" w:space="0"/>
          <w:right w:val="single" w:color="4BACC6" w:sz="8" w:space="0"/>
        </w:tcBorders>
      </w:tcPr>
    </w:tblStylePr>
    <w:tblStylePr w:type="firstCol">
      <w:rPr>
        <w:b/>
        <w:bCs/>
      </w:rPr>
      <w:tblPr/>
    </w:tblStylePr>
    <w:tblStylePr w:type="lastCol">
      <w:rPr>
        <w:b/>
        <w:bCs/>
      </w:rPr>
      <w:tblPr/>
    </w:tblStylePr>
    <w:tblStylePr w:type="band1Vert">
      <w:tblPr/>
      <w:tcPr>
        <w:tcBorders>
          <w:top w:val="single" w:color="4BACC6" w:sz="8" w:space="0"/>
          <w:left w:val="single" w:color="4BACC6" w:sz="8" w:space="0"/>
          <w:bottom w:val="single" w:color="4BACC6" w:sz="8" w:space="0"/>
          <w:right w:val="single" w:color="4BACC6" w:sz="8" w:space="0"/>
        </w:tcBorders>
      </w:tcPr>
    </w:tblStylePr>
    <w:tblStylePr w:type="band1Horz">
      <w:tblPr/>
      <w:tcPr>
        <w:tcBorders>
          <w:top w:val="single" w:color="4BACC6" w:sz="8" w:space="0"/>
          <w:left w:val="single" w:color="4BACC6" w:sz="8" w:space="0"/>
          <w:bottom w:val="single" w:color="4BACC6" w:sz="8" w:space="0"/>
          <w:right w:val="single" w:color="4BACC6" w:sz="8" w:space="0"/>
        </w:tcBorders>
      </w:tcPr>
    </w:tblStylePr>
  </w:style>
  <w:style w:type="table" w:styleId="Jasnecieniowanieakcent5">
    <w:name w:val="Light Shading Accent 5"/>
    <w:basedOn w:val="Standardowy"/>
    <w:uiPriority w:val="60"/>
    <w:rsid w:val="00160ea6"/>
    <w:rPr>
      <w:color w:val="31849B"/>
    </w:rPr>
    <w:tblPr>
      <w:tblStyleRowBandSize w:val="1"/>
      <w:tblStyleColBandSize w:val="1"/>
      <w:tblBorders>
        <w:top w:val="single" w:color="4BACC6" w:sz="8" w:space="0"/>
        <w:bottom w:val="single" w:color="4BACC6" w:sz="8" w:space="0"/>
      </w:tblBorders>
    </w:tblPr>
    <w:tblStylePr w:type="firstRow">
      <w:pPr>
        <w:spacing w:before="0" w:after="0" w:line="240" w:lineRule="auto"/>
      </w:pPr>
      <w:rPr>
        <w:b/>
        <w:bCs/>
      </w:rPr>
      <w:tblPr/>
      <w:tcPr>
        <w:tcBorders>
          <w:top w:val="single" w:color="4BACC6" w:sz="8" w:space="0"/>
          <w:left w:val="nil"/>
          <w:bottom w:val="single" w:color="4BACC6" w:sz="8" w:space="0"/>
          <w:right w:val="nil"/>
          <w:insideH w:val="nil"/>
          <w:insideV w:val="nil"/>
        </w:tcBorders>
      </w:tcPr>
    </w:tblStylePr>
    <w:tblStylePr w:type="lastRow">
      <w:pPr>
        <w:spacing w:before="0" w:after="0" w:line="240" w:lineRule="auto"/>
      </w:pPr>
      <w:rPr>
        <w:b/>
        <w:bCs/>
      </w:rPr>
      <w:tblPr/>
      <w:tcPr>
        <w:tcBorders>
          <w:top w:val="single" w:color="4BACC6" w:sz="8" w:space="0"/>
          <w:left w:val="nil"/>
          <w:bottom w:val="single" w:color="4BACC6"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Jasnasiatkaakcent3">
    <w:name w:val="Light Grid Accent 3"/>
    <w:basedOn w:val="Standardowy"/>
    <w:uiPriority w:val="62"/>
    <w:rsid w:val="00745038"/>
    <w:tblPr>
      <w:tblStyleRowBandSize w:val="1"/>
      <w:tblStyleColBandSize w:val="1"/>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Pr>
    <w:tblStylePr w:type="firstRow">
      <w:pPr>
        <w:spacing w:before="0" w:after="0" w:line="240" w:lineRule="auto"/>
      </w:pPr>
      <w:rPr>
        <w:b/>
        <w:bCs/>
      </w:rPr>
      <w:tblPr/>
      <w:tcPr>
        <w:tcBorders>
          <w:top w:val="single" w:color="9BBB59" w:sz="8" w:space="0"/>
          <w:left w:val="single" w:color="9BBB59" w:sz="8" w:space="0"/>
          <w:bottom w:val="single" w:color="9BBB59" w:sz="18" w:space="0"/>
          <w:right w:val="single" w:color="9BBB59" w:sz="8" w:space="0"/>
          <w:insideH w:val="nil"/>
          <w:insideV w:val="single" w:color="9BBB59" w:sz="8" w:space="0"/>
        </w:tcBorders>
      </w:tcPr>
    </w:tblStylePr>
    <w:tblStylePr w:type="lastRow">
      <w:pPr>
        <w:spacing w:before="0" w:after="0" w:line="240" w:lineRule="auto"/>
      </w:pPr>
      <w:rPr>
        <w:b/>
        <w:bCs/>
      </w:rPr>
      <w:tblPr/>
      <w:tcPr>
        <w:tcBorders>
          <w:top w:val="double" w:color="9BBB59" w:sz="6" w:space="0"/>
          <w:left w:val="single" w:color="9BBB59" w:sz="8" w:space="0"/>
          <w:bottom w:val="single" w:color="9BBB59" w:sz="8" w:space="0"/>
          <w:right w:val="single" w:color="9BBB59" w:sz="8" w:space="0"/>
          <w:insideH w:val="nil"/>
          <w:insideV w:val="single" w:color="9BBB59" w:sz="8" w:space="0"/>
        </w:tcBorders>
      </w:tcPr>
    </w:tblStylePr>
    <w:tblStylePr w:type="firstCol">
      <w:rPr>
        <w:b/>
        <w:bCs/>
      </w:rPr>
      <w:tblPr/>
    </w:tblStylePr>
    <w:tblStylePr w:type="lastCol">
      <w:rPr>
        <w:b/>
        <w:bCs/>
      </w:rPr>
      <w:tblPr/>
      <w:tcPr>
        <w:tcBorders>
          <w:top w:val="single" w:color="9BBB59" w:sz="8" w:space="0"/>
          <w:left w:val="single" w:color="9BBB59" w:sz="8" w:space="0"/>
          <w:bottom w:val="single" w:color="9BBB59" w:sz="8" w:space="0"/>
          <w:right w:val="single" w:color="9BBB59" w:sz="8" w:space="0"/>
        </w:tcBorders>
      </w:tcPr>
    </w:tblStylePr>
    <w:tblStylePr w:type="band1Vert">
      <w:tblPr/>
      <w:tcPr>
        <w:tcBorders>
          <w:top w:val="single" w:color="9BBB59" w:sz="8" w:space="0"/>
          <w:left w:val="single" w:color="9BBB59" w:sz="8" w:space="0"/>
          <w:bottom w:val="single" w:color="9BBB59" w:sz="8" w:space="0"/>
          <w:right w:val="single" w:color="9BBB59" w:sz="8" w:space="0"/>
        </w:tcBorders>
        <w:shd w:val="clear" w:color="auto" w:fill="E6EED5"/>
      </w:tcPr>
    </w:tblStylePr>
    <w:tblStylePr w:type="band1Horz">
      <w:tblPr/>
      <w:tcPr>
        <w:tcBorders>
          <w:top w:val="single" w:color="9BBB59" w:sz="8" w:space="0"/>
          <w:left w:val="single" w:color="9BBB59" w:sz="8" w:space="0"/>
          <w:bottom w:val="single" w:color="9BBB59" w:sz="8" w:space="0"/>
          <w:right w:val="single" w:color="9BBB59" w:sz="8" w:space="0"/>
          <w:insideV w:val="single" w:color="9BBB59" w:sz="8" w:space="0"/>
        </w:tcBorders>
        <w:shd w:val="clear" w:color="auto" w:fill="E6EED5"/>
      </w:tcPr>
    </w:tblStylePr>
    <w:tblStylePr w:type="band2Horz">
      <w:tblPr/>
      <w:tcPr>
        <w:tcBorders>
          <w:top w:val="single" w:color="9BBB59" w:sz="8" w:space="0"/>
          <w:left w:val="single" w:color="9BBB59" w:sz="8" w:space="0"/>
          <w:bottom w:val="single" w:color="9BBB59" w:sz="8" w:space="0"/>
          <w:right w:val="single" w:color="9BBB59" w:sz="8" w:space="0"/>
          <w:insideV w:val="single" w:color="9BBB59" w:sz="8" w:space="0"/>
        </w:tcBorders>
      </w:tcPr>
    </w:tblStylePr>
  </w:style>
  <w:style w:type="table" w:customStyle="1" w:styleId="Tabelasiatki4akcent31">
    <w:name w:val="Tabela siatki 4 — akcent 31"/>
    <w:basedOn w:val="Standardowy"/>
    <w:uiPriority w:val="49"/>
    <w:rsid w:val="00b74276"/>
    <w:tblPr>
      <w:tblStyleRowBandSize w:val="1"/>
      <w:tblStyleColBandSize w:val="1"/>
      <w:tblBorders>
        <w:top w:val="single" w:color="C2D69B" w:themeColor="accent3" w:themeTint="99" w:sz="4" w:space="0"/>
        <w:left w:val="single" w:color="C2D69B" w:themeColor="accent3" w:themeTint="99" w:sz="4" w:space="0"/>
        <w:bottom w:val="single" w:color="C2D69B" w:themeColor="accent3" w:themeTint="99" w:sz="4" w:space="0"/>
        <w:right w:val="single" w:color="C2D69B" w:themeColor="accent3" w:themeTint="99" w:sz="4" w:space="0"/>
        <w:insideH w:val="single" w:color="C2D69B" w:themeColor="accent3" w:themeTint="99" w:sz="4" w:space="0"/>
        <w:insideV w:val="single" w:color="C2D69B" w:themeColor="accent3" w:themeTint="99" w:sz="4" w:space="0"/>
      </w:tblBorders>
    </w:tblPr>
    <w:tblStylePr w:type="firstRow">
      <w:rPr>
        <w:b/>
        <w:bCs/>
        <w:color w:val="FFFFFF" w:themeColor="background1"/>
      </w:rPr>
      <w:tblPr/>
      <w:tcPr>
        <w:tcBorders>
          <w:top w:val="single" w:color="9BBB59" w:themeColor="accent3" w:sz="4" w:space="0"/>
          <w:left w:val="single" w:color="9BBB59" w:themeColor="accent3" w:sz="4" w:space="0"/>
          <w:bottom w:val="single" w:color="9BBB59" w:themeColor="accent3" w:sz="4" w:space="0"/>
          <w:right w:val="single" w:color="9BBB59" w:themeColor="accent3" w:sz="4" w:space="0"/>
          <w:insideH w:val="nil"/>
          <w:insideV w:val="nil"/>
        </w:tcBorders>
        <w:shd w:val="clear" w:color="auto" w:fill="9BBB59" w:themeFill="accent3"/>
      </w:tcPr>
    </w:tblStylePr>
    <w:tblStylePr w:type="lastRow">
      <w:rPr>
        <w:b/>
        <w:bCs/>
      </w:rPr>
      <w:tblPr/>
      <w:tcPr>
        <w:tcBorders>
          <w:top w:val="double" w:color="9BBB59" w:themeColor="accent3" w:sz="4" w:space="0"/>
        </w:tcBorders>
      </w:tcPr>
    </w:tblStylePr>
    <w:tblStylePr w:type="firstCol">
      <w:rPr>
        <w:b/>
        <w:bCs/>
      </w:rPr>
      <w:tblPr/>
    </w:tblStylePr>
    <w:tblStylePr w:type="lastCol">
      <w:rPr>
        <w:b/>
        <w:bCs/>
      </w:rPr>
      <w:tbl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Zwykatabela1">
    <w:name w:val="Plain Table 1"/>
    <w:basedOn w:val="Standardowy"/>
    <w:uiPriority w:val="41"/>
    <w:rsid w:val="00295435"/>
    <w:tblPr>
      <w:tblStyleRowBandSize w:val="1"/>
      <w:tblStyleColBandSize w:val="1"/>
      <w:tblBorders>
        <w:top w:val="single" w:color="BFBFBF" w:themeColor="background1" w:sz="4" w:space="0"/>
        <w:left w:val="single" w:color="BFBFBF" w:themeColor="background1" w:sz="4" w:space="0"/>
        <w:bottom w:val="single" w:color="BFBFBF" w:themeColor="background1" w:sz="4" w:space="0"/>
        <w:right w:val="single" w:color="BFBFBF" w:themeColor="background1" w:sz="4" w:space="0"/>
        <w:insideH w:val="single" w:color="BFBFBF" w:themeColor="background1" w:sz="4" w:space="0"/>
        <w:insideV w:val="single" w:color="BFBFBF" w:themeColor="background1" w:sz="4" w:space="0"/>
      </w:tblBorders>
    </w:tblPr>
    <w:tblStylePr w:type="firstRow">
      <w:rPr>
        <w:b/>
        <w:bCs/>
      </w:rPr>
      <w:tblPr/>
    </w:tblStylePr>
    <w:tblStylePr w:type="lastRow">
      <w:rPr>
        <w:b/>
        <w:bCs/>
      </w:rPr>
      <w:tblPr/>
      <w:tcPr>
        <w:tcBorders>
          <w:top w:val="double" w:color="BFBFBF" w:themeColor="background1" w:sz="4" w:space="0"/>
        </w:tcBorders>
      </w:tcPr>
    </w:tblStylePr>
    <w:tblStylePr w:type="firstCol">
      <w:rPr>
        <w:b/>
        <w:bCs/>
      </w:rPr>
      <w:tblPr/>
    </w:tblStylePr>
    <w:tblStylePr w:type="lastCol">
      <w:rPr>
        <w:b/>
        <w:bCs/>
      </w:rPr>
      <w:tbl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Zwykatabela3">
    <w:name w:val="Plain Table 3"/>
    <w:basedOn w:val="Standardowy"/>
    <w:uiPriority w:val="43"/>
    <w:rsid w:val="00295435"/>
    <w:tblPr>
      <w:tblStyleRowBandSize w:val="1"/>
      <w:tblStyleColBandSize w:val="1"/>
    </w:tblPr>
    <w:tblStylePr w:type="firstRow">
      <w:rPr>
        <w:b/>
        <w:bCs/>
        <w:caps/>
      </w:rPr>
      <w:tblPr/>
      <w:tcPr>
        <w:tcBorders>
          <w:bottom w:val="single" w:color="7F7F7F" w:themeColor="text1" w:sz="4" w:space="0"/>
        </w:tcBorders>
      </w:tcPr>
    </w:tblStylePr>
    <w:tblStylePr w:type="lastRow">
      <w:rPr>
        <w:b/>
        <w:bCs/>
        <w:caps/>
      </w:rPr>
      <w:tblPr/>
      <w:tcPr>
        <w:tcBorders>
          <w:top w:val="nil"/>
        </w:tcBorders>
      </w:tcPr>
    </w:tblStylePr>
    <w:tblStylePr w:type="firstCol">
      <w:rPr>
        <w:b/>
        <w:bCs/>
        <w:caps/>
      </w:rPr>
      <w:tblPr/>
      <w:tcPr>
        <w:tcBorders>
          <w:right w:val="single" w:color="7F7F7F" w:themeColor="text1"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Zwykatabela4">
    <w:name w:val="Plain Table 4"/>
    <w:basedOn w:val="Standardowy"/>
    <w:uiPriority w:val="44"/>
    <w:rsid w:val="00295435"/>
    <w:tblPr>
      <w:tblStyleRowBandSize w:val="1"/>
      <w:tblStyleColBandSize w:val="1"/>
    </w:tblPr>
    <w:tblStylePr w:type="firstRow">
      <w:rPr>
        <w:b/>
        <w:bCs/>
      </w:rPr>
      <w:tblPr/>
    </w:tblStylePr>
    <w:tblStylePr w:type="lastRow">
      <w:rPr>
        <w:b/>
        <w:bCs/>
      </w:rPr>
      <w:tblPr/>
    </w:tblStylePr>
    <w:tblStylePr w:type="firstCol">
      <w:rPr>
        <w:b/>
        <w:bCs/>
      </w:rPr>
      <w:tblPr/>
    </w:tblStylePr>
    <w:tblStylePr w:type="lastCol">
      <w:rPr>
        <w:b/>
        <w:bCs/>
      </w:rPr>
      <w:tbl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siatki4akcent3">
    <w:name w:val="Grid Table 4 Accent 3"/>
    <w:basedOn w:val="Standardowy"/>
    <w:uiPriority w:val="49"/>
    <w:rsid w:val="00295435"/>
    <w:tblPr>
      <w:tblStyleRowBandSize w:val="1"/>
      <w:tblStyleColBandSize w:val="1"/>
      <w:tblBorders>
        <w:top w:val="single" w:color="C2D69B" w:themeColor="accent3" w:themeTint="99" w:sz="4" w:space="0"/>
        <w:left w:val="single" w:color="C2D69B" w:themeColor="accent3" w:themeTint="99" w:sz="4" w:space="0"/>
        <w:bottom w:val="single" w:color="C2D69B" w:themeColor="accent3" w:themeTint="99" w:sz="4" w:space="0"/>
        <w:right w:val="single" w:color="C2D69B" w:themeColor="accent3" w:themeTint="99" w:sz="4" w:space="0"/>
        <w:insideH w:val="single" w:color="C2D69B" w:themeColor="accent3" w:themeTint="99" w:sz="4" w:space="0"/>
        <w:insideV w:val="single" w:color="C2D69B" w:themeColor="accent3" w:themeTint="99" w:sz="4" w:space="0"/>
      </w:tblBorders>
    </w:tblPr>
    <w:tblStylePr w:type="firstRow">
      <w:rPr>
        <w:b/>
        <w:bCs/>
        <w:color w:val="FFFFFF" w:themeColor="background1"/>
      </w:rPr>
      <w:tblPr/>
      <w:tcPr>
        <w:tcBorders>
          <w:top w:val="single" w:color="9BBB59" w:themeColor="accent3" w:sz="4" w:space="0"/>
          <w:left w:val="single" w:color="9BBB59" w:themeColor="accent3" w:sz="4" w:space="0"/>
          <w:bottom w:val="single" w:color="9BBB59" w:themeColor="accent3" w:sz="4" w:space="0"/>
          <w:right w:val="single" w:color="9BBB59" w:themeColor="accent3" w:sz="4" w:space="0"/>
          <w:insideH w:val="nil"/>
          <w:insideV w:val="nil"/>
        </w:tcBorders>
        <w:shd w:val="clear" w:color="auto" w:fill="9BBB59" w:themeFill="accent3"/>
      </w:tcPr>
    </w:tblStylePr>
    <w:tblStylePr w:type="lastRow">
      <w:rPr>
        <w:b/>
        <w:bCs/>
      </w:rPr>
      <w:tblPr/>
      <w:tcPr>
        <w:tcBorders>
          <w:top w:val="double" w:color="9BBB59" w:themeColor="accent3" w:sz="4" w:space="0"/>
        </w:tcBorders>
      </w:tcPr>
    </w:tblStylePr>
    <w:tblStylePr w:type="firstCol">
      <w:rPr>
        <w:b/>
        <w:bCs/>
      </w:rPr>
      <w:tblPr/>
    </w:tblStylePr>
    <w:tblStylePr w:type="lastCol">
      <w:rPr>
        <w:b/>
        <w:bCs/>
      </w:rPr>
      <w:tbl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diagramData" Target="diagrams/data4.xml"/><Relationship Id="rId6" Type="http://schemas.openxmlformats.org/officeDocument/2006/relationships/diagramLayout" Target="diagrams/layout4.xml"/><Relationship Id="rId7" Type="http://schemas.openxmlformats.org/officeDocument/2006/relationships/diagramQuickStyle" Target="diagrams/quickStyle4.xml"/><Relationship Id="rId8" Type="http://schemas.openxmlformats.org/officeDocument/2006/relationships/diagramColors" Target="diagrams/colors4.xml"/><Relationship Id="rId9" Type="http://schemas.microsoft.com/office/2007/relationships/diagramDrawing" Target="diagrams/drawing4.xml"/><Relationship Id="rId10" Type="http://schemas.openxmlformats.org/officeDocument/2006/relationships/hyperlink" Target="_parent" TargetMode="External"/><Relationship Id="rId11" Type="http://schemas.openxmlformats.org/officeDocument/2006/relationships/hyperlink" Target="http://isap.sejm.gov.pl/DetailsServlet?id=WMP19960190231" TargetMode="External"/><Relationship Id="rId12" Type="http://schemas.openxmlformats.org/officeDocument/2006/relationships/diagramData" Target="diagrams/data5.xml"/><Relationship Id="rId13" Type="http://schemas.openxmlformats.org/officeDocument/2006/relationships/diagramLayout" Target="diagrams/layout5.xml"/><Relationship Id="rId14" Type="http://schemas.openxmlformats.org/officeDocument/2006/relationships/diagramQuickStyle" Target="diagrams/quickStyle5.xml"/><Relationship Id="rId15" Type="http://schemas.openxmlformats.org/officeDocument/2006/relationships/diagramColors" Target="diagrams/colors5.xml"/><Relationship Id="rId16" Type="http://schemas.microsoft.com/office/2007/relationships/diagramDrawing" Target="diagrams/drawing5.xml"/><Relationship Id="rId17" Type="http://schemas.openxmlformats.org/officeDocument/2006/relationships/diagramData" Target="diagrams/data6.xml"/><Relationship Id="rId18" Type="http://schemas.openxmlformats.org/officeDocument/2006/relationships/diagramLayout" Target="diagrams/layout6.xml"/><Relationship Id="rId19" Type="http://schemas.openxmlformats.org/officeDocument/2006/relationships/diagramQuickStyle" Target="diagrams/quickStyle6.xml"/><Relationship Id="rId20" Type="http://schemas.openxmlformats.org/officeDocument/2006/relationships/diagramColors" Target="diagrams/colors6.xml"/><Relationship Id="rId21" Type="http://schemas.microsoft.com/office/2007/relationships/diagramDrawing" Target="diagrams/drawing6.xml"/><Relationship Id="rId22" Type="http://schemas.openxmlformats.org/officeDocument/2006/relationships/hyperlink" Target="_parent" TargetMode="External"/><Relationship Id="rId23" Type="http://schemas.openxmlformats.org/officeDocument/2006/relationships/diagramData" Target="diagrams/data7.xml"/><Relationship Id="rId24" Type="http://schemas.openxmlformats.org/officeDocument/2006/relationships/diagramLayout" Target="diagrams/layout7.xml"/><Relationship Id="rId25" Type="http://schemas.openxmlformats.org/officeDocument/2006/relationships/diagramQuickStyle" Target="diagrams/quickStyle7.xml"/><Relationship Id="rId26" Type="http://schemas.openxmlformats.org/officeDocument/2006/relationships/diagramColors" Target="diagrams/colors7.xml"/><Relationship Id="rId27" Type="http://schemas.microsoft.com/office/2007/relationships/diagramDrawing" Target="diagrams/drawing7.xml"/><Relationship Id="rId28" Type="http://schemas.openxmlformats.org/officeDocument/2006/relationships/diagramData" Target="diagrams/data8.xml"/><Relationship Id="rId29" Type="http://schemas.openxmlformats.org/officeDocument/2006/relationships/diagramLayout" Target="diagrams/layout8.xml"/><Relationship Id="rId30" Type="http://schemas.openxmlformats.org/officeDocument/2006/relationships/diagramQuickStyle" Target="diagrams/quickStyle8.xml"/><Relationship Id="rId31" Type="http://schemas.openxmlformats.org/officeDocument/2006/relationships/diagramColors" Target="diagrams/colors8.xml"/><Relationship Id="rId32" Type="http://schemas.microsoft.com/office/2007/relationships/diagramDrawing" Target="diagrams/drawing8.xml"/><Relationship Id="rId33" Type="http://schemas.openxmlformats.org/officeDocument/2006/relationships/hyperlink" Target="_parent" TargetMode="External"/><Relationship Id="rId34" Type="http://schemas.openxmlformats.org/officeDocument/2006/relationships/diagramData" Target="diagrams/data9.xml"/><Relationship Id="rId35" Type="http://schemas.openxmlformats.org/officeDocument/2006/relationships/diagramLayout" Target="diagrams/layout9.xml"/><Relationship Id="rId36" Type="http://schemas.openxmlformats.org/officeDocument/2006/relationships/diagramQuickStyle" Target="diagrams/quickStyle9.xml"/><Relationship Id="rId37" Type="http://schemas.openxmlformats.org/officeDocument/2006/relationships/diagramColors" Target="diagrams/colors9.xml"/><Relationship Id="rId38" Type="http://schemas.microsoft.com/office/2007/relationships/diagramDrawing" Target="diagrams/drawing9.xml"/><Relationship Id="rId39" Type="http://schemas.openxmlformats.org/officeDocument/2006/relationships/diagramData" Target="diagrams/data10.xml"/><Relationship Id="rId40" Type="http://schemas.openxmlformats.org/officeDocument/2006/relationships/diagramLayout" Target="diagrams/layout10.xml"/><Relationship Id="rId41" Type="http://schemas.openxmlformats.org/officeDocument/2006/relationships/diagramQuickStyle" Target="diagrams/quickStyle10.xml"/><Relationship Id="rId42" Type="http://schemas.openxmlformats.org/officeDocument/2006/relationships/diagramColors" Target="diagrams/colors10.xml"/><Relationship Id="rId43" Type="http://schemas.microsoft.com/office/2007/relationships/diagramDrawing" Target="diagrams/drawing10.xml"/><Relationship Id="rId44" Type="http://schemas.openxmlformats.org/officeDocument/2006/relationships/diagramData" Target="diagrams/data11.xml"/><Relationship Id="rId45" Type="http://schemas.openxmlformats.org/officeDocument/2006/relationships/diagramLayout" Target="diagrams/layout11.xml"/><Relationship Id="rId46" Type="http://schemas.openxmlformats.org/officeDocument/2006/relationships/diagramQuickStyle" Target="diagrams/quickStyle11.xml"/><Relationship Id="rId47" Type="http://schemas.openxmlformats.org/officeDocument/2006/relationships/diagramColors" Target="diagrams/colors11.xml"/><Relationship Id="rId48" Type="http://schemas.microsoft.com/office/2007/relationships/diagramDrawing" Target="diagrams/drawing11.xml"/><Relationship Id="rId49" Type="http://schemas.openxmlformats.org/officeDocument/2006/relationships/chart" Target="charts/chart1.xml"/><Relationship Id="rId50" Type="http://schemas.openxmlformats.org/officeDocument/2006/relationships/image" Target="media/image4.png"/><Relationship Id="rId51" Type="http://schemas.openxmlformats.org/officeDocument/2006/relationships/image" Target="media/image5.wmf"/><Relationship Id="rId52" Type="http://schemas.openxmlformats.org/officeDocument/2006/relationships/image" Target="media/image6.wmf"/><Relationship Id="rId53" Type="http://schemas.openxmlformats.org/officeDocument/2006/relationships/image" Target="media/image7.wmf"/><Relationship Id="rId54" Type="http://schemas.openxmlformats.org/officeDocument/2006/relationships/image" Target="media/image8.wmf"/><Relationship Id="rId55" Type="http://schemas.openxmlformats.org/officeDocument/2006/relationships/image" Target="media/image9.wmf"/><Relationship Id="rId56" Type="http://schemas.openxmlformats.org/officeDocument/2006/relationships/image" Target="media/image10.wmf"/><Relationship Id="rId57" Type="http://schemas.openxmlformats.org/officeDocument/2006/relationships/image" Target="media/image11.png"/><Relationship Id="rId58" Type="http://schemas.openxmlformats.org/officeDocument/2006/relationships/footer" Target="footer1.xml"/><Relationship Id="rId59" Type="http://schemas.openxmlformats.org/officeDocument/2006/relationships/image" Target="media/image12.png"/><Relationship Id="rId60" Type="http://schemas.openxmlformats.org/officeDocument/2006/relationships/header" Target="header1.xml"/><Relationship Id="rId61" Type="http://schemas.openxmlformats.org/officeDocument/2006/relationships/footer" Target="footer2.xml"/><Relationship Id="rId62" Type="http://schemas.openxmlformats.org/officeDocument/2006/relationships/footer" Target="footer3.xml"/><Relationship Id="rId63" Type="http://schemas.openxmlformats.org/officeDocument/2006/relationships/image" Target="media/image13.png"/><Relationship Id="rId64" Type="http://schemas.openxmlformats.org/officeDocument/2006/relationships/header" Target="header2.xml"/><Relationship Id="rId65" Type="http://schemas.openxmlformats.org/officeDocument/2006/relationships/footer" Target="footer4.xml"/><Relationship Id="rId66" Type="http://schemas.openxmlformats.org/officeDocument/2006/relationships/footer" Target="footer5.xml"/><Relationship Id="rId67" Type="http://schemas.openxmlformats.org/officeDocument/2006/relationships/header" Target="header3.xml"/><Relationship Id="rId68" Type="http://schemas.openxmlformats.org/officeDocument/2006/relationships/footer" Target="footer6.xml"/><Relationship Id="rId69" Type="http://schemas.openxmlformats.org/officeDocument/2006/relationships/header" Target="header4.xml"/><Relationship Id="rId70" Type="http://schemas.openxmlformats.org/officeDocument/2006/relationships/footer" Target="footer7.xml"/><Relationship Id="rId71" Type="http://schemas.openxmlformats.org/officeDocument/2006/relationships/footnotes" Target="footnotes.xml"/><Relationship Id="rId72" Type="http://schemas.openxmlformats.org/officeDocument/2006/relationships/numbering" Target="numbering.xml"/><Relationship Id="rId73" Type="http://schemas.openxmlformats.org/officeDocument/2006/relationships/fontTable" Target="fontTable.xml"/><Relationship Id="rId74" Type="http://schemas.openxmlformats.org/officeDocument/2006/relationships/settings" Target="settings.xml"/><Relationship Id="rId75" Type="http://schemas.openxmlformats.org/officeDocument/2006/relationships/theme" Target="theme/theme1.xml"/><Relationship Id="rId76" Type="http://schemas.openxmlformats.org/officeDocument/2006/relationships/customXml" Target="../customXml/item1.xml"/>
</Relationships>
</file>

<file path=word/_rels/footnotes.xml.rels><?xml version="1.0" encoding="UTF-8"?>
<Relationships xmlns="http://schemas.openxmlformats.org/package/2006/relationships"><Relationship Id="rId1" Type="http://schemas.openxmlformats.org/officeDocument/2006/relationships/hyperlink" Target="http://www.bazaazbestowa.gov.pl/" TargetMode="External"/>
</Relationships>
</file>

<file path=word/charts/_rels/chart1.xml.rels><?xml version="1.0" encoding="UTF-8"?>
<Relationships xmlns="http://schemas.openxmlformats.org/package/2006/relationships"><Relationship Id="rId1" Type="http://schemas.openxmlformats.org/officeDocument/2006/relationships/package" Target="../embeddings/Microsoft_Excel_Worksheet.xlsx"/>
</Relationships>
</file>

<file path=word/charts/chart1.xml><?xml version="1.0" encoding="utf-8"?>
<c:chartSpace xmlns:c="http://schemas.openxmlformats.org/drawingml/2006/chart" xmlns:a="http://schemas.openxmlformats.org/drawingml/2006/main" xmlns:r="http://schemas.openxmlformats.org/officeDocument/2006/relationships">
  <c:lang val="en-US"/>
  <c:roundedCorners val="0"/>
  <c:chart>
    <c:title>
      <c:tx>
        <c:rich>
          <a:bodyPr rot="0"/>
          <a:lstStyle/>
          <a:p>
            <a:pPr>
              <a:defRPr b="0" sz="1400" spc="-1" strike="noStrike">
                <a:solidFill>
                  <a:srgbClr val="595959"/>
                </a:solidFill>
                <a:latin typeface="Calibri"/>
              </a:defRPr>
            </a:pPr>
            <a:r>
              <a:rPr b="0" sz="1400" spc="-1" strike="noStrike">
                <a:solidFill>
                  <a:srgbClr val="595959"/>
                </a:solidFill>
                <a:latin typeface="Calibri"/>
              </a:rPr>
              <a:t>Ilość wyrobów zawierających azbest w przeliczeniu na 1 mieszkańca
</a:t>
            </a:r>
          </a:p>
        </c:rich>
      </c:tx>
      <c:overlay val="0"/>
    </c:title>
    <c:autoTitleDeleted val="0"/>
    <c:plotArea>
      <c:barChart>
        <c:barDir val="col"/>
        <c:grouping val="clustered"/>
        <c:varyColors val="0"/>
        <c:ser>
          <c:idx val="0"/>
          <c:order val="0"/>
          <c:tx>
            <c:strRef>
              <c:f>label 0</c:f>
              <c:strCache>
                <c:ptCount val="1"/>
                <c:pt idx="0">
                  <c:v/>
                </c:pt>
              </c:strCache>
            </c:strRef>
          </c:tx>
          <c:spPr>
            <a:solidFill>
              <a:srgbClr val="4f81bd"/>
            </a:solidFill>
            <a:ln>
              <a:noFill/>
            </a:ln>
          </c:spPr>
          <c:invertIfNegative val="0"/>
          <c:dLbls>
            <c:numFmt formatCode="General" sourceLinked="1"/>
            <c:txPr>
              <a:bodyPr/>
              <a:lstStyle/>
              <a:p>
                <a:pPr>
                  <a:defRPr b="0" sz="1000" spc="-1" strike="noStrike">
                    <a:solidFill>
                      <a:srgbClr val="000000"/>
                    </a:solidFill>
                    <a:latin typeface="Calibri"/>
                  </a:defRPr>
                </a:pPr>
              </a:p>
            </c:txPr>
            <c:dLblPos val="outEnd"/>
            <c:showLegendKey val="0"/>
            <c:showVal val="0"/>
            <c:showCatName val="0"/>
            <c:showSerName val="0"/>
            <c:showPercent val="0"/>
            <c:showLeaderLines val="0"/>
          </c:dLbls>
          <c:cat>
            <c:strRef>
              <c:f>categories</c:f>
              <c:strCache>
                <c:ptCount val="3"/>
                <c:pt idx="0">
                  <c:v>Gmina Mrocza</c:v>
                </c:pt>
                <c:pt idx="1">
                  <c:v>woj. kujawsko- pomorskie</c:v>
                </c:pt>
                <c:pt idx="2">
                  <c:v>Polska</c:v>
                </c:pt>
              </c:strCache>
            </c:strRef>
          </c:cat>
          <c:val>
            <c:numRef>
              <c:f>0</c:f>
              <c:numCache>
                <c:formatCode>General</c:formatCode>
                <c:ptCount val="3"/>
                <c:pt idx="0">
                  <c:v>0.435866983372922</c:v>
                </c:pt>
                <c:pt idx="1">
                  <c:v>0.375118589714445</c:v>
                </c:pt>
                <c:pt idx="2">
                  <c:v>0.186395939012289</c:v>
                </c:pt>
              </c:numCache>
            </c:numRef>
          </c:val>
        </c:ser>
        <c:gapWidth val="219"/>
        <c:overlap val="-27"/>
        <c:axId val="37553310"/>
        <c:axId val="32551223"/>
      </c:barChart>
      <c:catAx>
        <c:axId val="37553310"/>
        <c:scaling>
          <c:orientation val="minMax"/>
        </c:scaling>
        <c:delete val="0"/>
        <c:axPos val="b"/>
        <c:numFmt formatCode="D/MM/YYYY" sourceLinked="1"/>
        <c:majorTickMark val="none"/>
        <c:minorTickMark val="none"/>
        <c:tickLblPos val="nextTo"/>
        <c:spPr>
          <a:ln w="9360">
            <a:solidFill>
              <a:srgbClr val="d9d9d9"/>
            </a:solidFill>
            <a:round/>
          </a:ln>
        </c:spPr>
        <c:txPr>
          <a:bodyPr/>
          <a:lstStyle/>
          <a:p>
            <a:pPr>
              <a:defRPr b="0" sz="900" spc="-1" strike="noStrike">
                <a:solidFill>
                  <a:srgbClr val="595959"/>
                </a:solidFill>
                <a:latin typeface="Calibri"/>
              </a:defRPr>
            </a:pPr>
          </a:p>
        </c:txPr>
        <c:crossAx val="32551223"/>
        <c:crosses val="autoZero"/>
        <c:auto val="1"/>
        <c:lblAlgn val="ctr"/>
        <c:lblOffset val="100"/>
      </c:catAx>
      <c:valAx>
        <c:axId val="32551223"/>
        <c:scaling>
          <c:orientation val="minMax"/>
        </c:scaling>
        <c:delete val="0"/>
        <c:axPos val="l"/>
        <c:majorGridlines>
          <c:spPr>
            <a:ln w="9360">
              <a:solidFill>
                <a:srgbClr val="d9d9d9"/>
              </a:solidFill>
              <a:round/>
            </a:ln>
          </c:spPr>
        </c:majorGridlines>
        <c:title>
          <c:tx>
            <c:rich>
              <a:bodyPr rot="-5400000"/>
              <a:lstStyle/>
              <a:p>
                <a:pPr>
                  <a:defRPr b="0" sz="1000" spc="-1" strike="noStrike">
                    <a:solidFill>
                      <a:srgbClr val="595959"/>
                    </a:solidFill>
                    <a:latin typeface="Calibri"/>
                  </a:defRPr>
                </a:pPr>
                <a:r>
                  <a:rPr b="0" sz="1000" spc="-1" strike="noStrike">
                    <a:solidFill>
                      <a:srgbClr val="595959"/>
                    </a:solidFill>
                    <a:latin typeface="Calibri"/>
                  </a:rPr>
                  <a:t>Ilość [Mg/mieszkańca]
</a:t>
                </a:r>
              </a:p>
            </c:rich>
          </c:tx>
          <c:overlay val="0"/>
        </c:title>
        <c:numFmt formatCode="General" sourceLinked="0"/>
        <c:majorTickMark val="none"/>
        <c:minorTickMark val="none"/>
        <c:tickLblPos val="nextTo"/>
        <c:spPr>
          <a:ln w="9360">
            <a:noFill/>
          </a:ln>
        </c:spPr>
        <c:txPr>
          <a:bodyPr/>
          <a:lstStyle/>
          <a:p>
            <a:pPr>
              <a:defRPr b="0" sz="900" spc="-1" strike="noStrike">
                <a:solidFill>
                  <a:srgbClr val="595959"/>
                </a:solidFill>
                <a:latin typeface="Calibri"/>
              </a:defRPr>
            </a:pPr>
          </a:p>
        </c:txPr>
        <c:crossAx val="37553310"/>
        <c:crosses val="autoZero"/>
      </c:valAx>
      <c:spPr>
        <a:noFill/>
        <a:ln>
          <a:noFill/>
        </a:ln>
      </c:spPr>
    </c:plotArea>
    <c:plotVisOnly val="1"/>
    <c:dispBlanksAs val="gap"/>
  </c:chart>
  <c:spPr>
    <a:solidFill>
      <a:srgbClr val="ffffff"/>
    </a:solidFill>
    <a:ln w="9360">
      <a:solidFill>
        <a:srgbClr val="d9d9d9"/>
      </a:solidFill>
      <a:round/>
    </a:ln>
  </c:spPr>
  <c:externalData r:id="rId1"/>
</c:chartSpace>
</file>

<file path=word/diagrams/colors10.xml><?xml version="1.0" encoding="utf-8"?>
<dgm:colorsDef xmlns:dgm="http://schemas.openxmlformats.org/drawingml/2006/diagram" xmlns:a="http://schemas.openxmlformats.org/drawingml/2006/main" uniqueId="urn:microsoft.com/office/officeart/2005/8/colors/colorful1#6">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1#7">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1#3">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1#4">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colorful1#5">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0.xml><?xml version="1.0" encoding="utf-8"?>
<dgm:dataModel xmlns:dgm="http://schemas.openxmlformats.org/drawingml/2006/diagram" xmlns:a="http://schemas.openxmlformats.org/drawingml/2006/main">
  <dgm:ptLst>
    <dgm:pt modelId="{290941DE-A1DB-46F1-B03D-0105B16E5B2F}" type="doc">
      <dgm:prSet loTypeId="urn:microsoft.com/office/officeart/2005/8/layout/bProcess3" loCatId="process" qsTypeId="urn:microsoft.com/office/officeart/2005/8/quickstyle/simple5" qsCatId="simple" csTypeId="urn:microsoft.com/office/officeart/2005/8/colors/colorful1#6" csCatId="colorful" phldr="1"/>
      <dgm:spPr/>
      <dgm:t>
        <a:bodyPr/>
        <a:lstStyle/>
        <a:p>
          <a:endParaRPr lang="pl-PL"/>
        </a:p>
      </dgm:t>
    </dgm:pt>
    <dgm:pt modelId="{5C412DE9-7057-441A-8C91-C41600E9B5F3}">
      <dgm:prSet phldrT="[Tekst]" custT="1"/>
      <dgm:spPr/>
      <dgm:t>
        <a:bodyPr/>
        <a:lstStyle/>
        <a:p>
          <a:r>
            <a:rPr lang="pl-PL" sz="900"/>
            <a:t>Uzyskanie od Starosty właściwego, ze względu na miejsce siedziby zezwolenia na prowadzenie działalności w zakresie transportu odpadów niebezpiecznych zawierających azbest.</a:t>
          </a:r>
        </a:p>
      </dgm:t>
    </dgm:pt>
    <dgm:pt modelId="{AE4E9A24-47BD-4690-AF30-14A690F1AA44}" type="parTrans" cxnId="{6F3BD7E1-087F-4CCA-8326-BB6937E70FD0}">
      <dgm:prSet/>
      <dgm:spPr/>
      <dgm:t>
        <a:bodyPr/>
        <a:lstStyle/>
        <a:p>
          <a:endParaRPr lang="pl-PL" sz="1050"/>
        </a:p>
      </dgm:t>
    </dgm:pt>
    <dgm:pt modelId="{81D96DCF-4228-41CA-82CC-25F433DE5C16}" type="sibTrans" cxnId="{6F3BD7E1-087F-4CCA-8326-BB6937E70FD0}">
      <dgm:prSet custT="1"/>
      <dgm:spPr/>
      <dgm:t>
        <a:bodyPr/>
        <a:lstStyle/>
        <a:p>
          <a:endParaRPr lang="pl-PL" sz="1050"/>
        </a:p>
      </dgm:t>
    </dgm:pt>
    <dgm:pt modelId="{071E8585-3E73-4F0D-BF39-0D93A1C8C681}">
      <dgm:prSet custT="1"/>
      <dgm:spPr/>
      <dgm:t>
        <a:bodyPr/>
        <a:lstStyle/>
        <a:p>
          <a:r>
            <a:rPr lang="pl-PL" sz="1050"/>
            <a:t>Odbiór odpadów zawierających azbest od poprzedniego posiadacza.</a:t>
          </a:r>
        </a:p>
      </dgm:t>
    </dgm:pt>
    <dgm:pt modelId="{7AC14C30-0099-47E1-86F8-ED2E90365331}" type="parTrans" cxnId="{7C1CFE76-EF27-4A85-B534-16FD73608D80}">
      <dgm:prSet/>
      <dgm:spPr/>
      <dgm:t>
        <a:bodyPr/>
        <a:lstStyle/>
        <a:p>
          <a:endParaRPr lang="pl-PL" sz="1050"/>
        </a:p>
      </dgm:t>
    </dgm:pt>
    <dgm:pt modelId="{EA65DC71-A253-4079-98C2-1DB653F09656}" type="sibTrans" cxnId="{7C1CFE76-EF27-4A85-B534-16FD73608D80}">
      <dgm:prSet custT="1"/>
      <dgm:spPr/>
      <dgm:t>
        <a:bodyPr/>
        <a:lstStyle/>
        <a:p>
          <a:endParaRPr lang="pl-PL" sz="1050"/>
        </a:p>
      </dgm:t>
    </dgm:pt>
    <dgm:pt modelId="{730312BD-7AA1-44B1-9D76-3184C5170F58}">
      <dgm:prSet custT="1"/>
      <dgm:spPr/>
      <dgm:t>
        <a:bodyPr/>
        <a:lstStyle/>
        <a:p>
          <a:r>
            <a:rPr lang="pl-PL" sz="1050"/>
            <a:t>Karta przekazania odpadu.</a:t>
          </a:r>
          <a:endParaRPr lang="pl-PL" sz="1050" b="0"/>
        </a:p>
      </dgm:t>
    </dgm:pt>
    <dgm:pt modelId="{5E4ED77C-2A43-4942-B176-8220DC4636DB}" type="parTrans" cxnId="{59CA9DA0-BC5F-4918-BA3C-B687A29D7964}">
      <dgm:prSet/>
      <dgm:spPr/>
      <dgm:t>
        <a:bodyPr/>
        <a:lstStyle/>
        <a:p>
          <a:endParaRPr lang="pl-PL" sz="1050"/>
        </a:p>
      </dgm:t>
    </dgm:pt>
    <dgm:pt modelId="{EF2340CE-7274-4A41-B3D9-9A9BE5A4D87A}" type="sibTrans" cxnId="{59CA9DA0-BC5F-4918-BA3C-B687A29D7964}">
      <dgm:prSet custT="1"/>
      <dgm:spPr/>
      <dgm:t>
        <a:bodyPr/>
        <a:lstStyle/>
        <a:p>
          <a:endParaRPr lang="pl-PL" sz="1050"/>
        </a:p>
      </dgm:t>
    </dgm:pt>
    <dgm:pt modelId="{D1A96D63-6435-406B-AAA1-DD834F9590D2}">
      <dgm:prSet custT="1"/>
      <dgm:spPr/>
      <dgm:t>
        <a:bodyPr/>
        <a:lstStyle/>
        <a:p>
          <a:r>
            <a:rPr lang="pl-PL" sz="1050"/>
            <a:t>Sprawdzenie prawidłowości i szczelności opakowania.</a:t>
          </a:r>
          <a:endParaRPr lang="pl-PL" sz="1050" b="0">
            <a:latin typeface="+mn-lt"/>
          </a:endParaRPr>
        </a:p>
      </dgm:t>
    </dgm:pt>
    <dgm:pt modelId="{228405FB-4401-4C81-B57D-8600070D4630}" type="parTrans" cxnId="{1186C356-AA4C-401E-8550-30DE1CA3654F}">
      <dgm:prSet/>
      <dgm:spPr/>
      <dgm:t>
        <a:bodyPr/>
        <a:lstStyle/>
        <a:p>
          <a:endParaRPr lang="pl-PL" sz="1050"/>
        </a:p>
      </dgm:t>
    </dgm:pt>
    <dgm:pt modelId="{5744942C-8D0E-483E-9230-67C39FF5413A}" type="sibTrans" cxnId="{1186C356-AA4C-401E-8550-30DE1CA3654F}">
      <dgm:prSet custT="1"/>
      <dgm:spPr/>
      <dgm:t>
        <a:bodyPr/>
        <a:lstStyle/>
        <a:p>
          <a:endParaRPr lang="pl-PL" sz="1050"/>
        </a:p>
      </dgm:t>
    </dgm:pt>
    <dgm:pt modelId="{7E6E47BA-A62E-418C-8AC6-12FE035181BE}">
      <dgm:prSet custT="1"/>
      <dgm:spPr/>
      <dgm:t>
        <a:bodyPr/>
        <a:lstStyle/>
        <a:p>
          <a:r>
            <a:rPr lang="pl-PL" sz="1050"/>
            <a:t>Przygotowanie pojazdu do przewozu odpadów niebezpiecznych</a:t>
          </a:r>
          <a:r>
            <a:rPr lang="pl-PL" sz="1050" b="0"/>
            <a:t>.</a:t>
          </a:r>
        </a:p>
      </dgm:t>
    </dgm:pt>
    <dgm:pt modelId="{46FEFA24-FD12-47AB-BC2C-920EBB449EAC}" type="parTrans" cxnId="{5DDF37AA-0A66-48AA-A6CC-B090634FB4BB}">
      <dgm:prSet/>
      <dgm:spPr/>
      <dgm:t>
        <a:bodyPr/>
        <a:lstStyle/>
        <a:p>
          <a:endParaRPr lang="pl-PL" sz="1050"/>
        </a:p>
      </dgm:t>
    </dgm:pt>
    <dgm:pt modelId="{81A7DC3A-C1DA-4989-938C-F093CCDEC852}" type="sibTrans" cxnId="{5DDF37AA-0A66-48AA-A6CC-B090634FB4BB}">
      <dgm:prSet custT="1"/>
      <dgm:spPr/>
      <dgm:t>
        <a:bodyPr/>
        <a:lstStyle/>
        <a:p>
          <a:endParaRPr lang="pl-PL" sz="1050"/>
        </a:p>
      </dgm:t>
    </dgm:pt>
    <dgm:pt modelId="{EED90470-F772-43C0-9A67-2F61F0A5158E}">
      <dgm:prSet custT="1"/>
      <dgm:spPr/>
      <dgm:t>
        <a:bodyPr/>
        <a:lstStyle/>
        <a:p>
          <a:r>
            <a:rPr lang="pl-PL" sz="1050"/>
            <a:t>Czyszczenie skrzyni pojazdu, wyłożenie odpowiednią folią.</a:t>
          </a:r>
          <a:endParaRPr lang="pl-PL" sz="1050" b="0"/>
        </a:p>
      </dgm:t>
    </dgm:pt>
    <dgm:pt modelId="{046DCB86-025F-4F68-B1C4-92CBB6FC8ED3}" type="parTrans" cxnId="{36055605-E78C-454E-BF05-2BDCB5CD6F48}">
      <dgm:prSet/>
      <dgm:spPr/>
      <dgm:t>
        <a:bodyPr/>
        <a:lstStyle/>
        <a:p>
          <a:endParaRPr lang="pl-PL" sz="1050"/>
        </a:p>
      </dgm:t>
    </dgm:pt>
    <dgm:pt modelId="{9FD9EE72-7747-4AED-BF36-3A74F61B4F24}" type="sibTrans" cxnId="{36055605-E78C-454E-BF05-2BDCB5CD6F48}">
      <dgm:prSet custT="1"/>
      <dgm:spPr/>
      <dgm:t>
        <a:bodyPr/>
        <a:lstStyle/>
        <a:p>
          <a:endParaRPr lang="pl-PL" sz="1050"/>
        </a:p>
      </dgm:t>
    </dgm:pt>
    <dgm:pt modelId="{6EF90803-C57D-4E1C-B56D-A0179806B921}">
      <dgm:prSet custT="1"/>
      <dgm:spPr/>
      <dgm:t>
        <a:bodyPr/>
        <a:lstStyle/>
        <a:p>
          <a:r>
            <a:rPr lang="pl-PL" sz="1050"/>
            <a:t>Przygotowanie dokumentów.</a:t>
          </a:r>
          <a:endParaRPr lang="pl-PL" sz="1050" b="0"/>
        </a:p>
      </dgm:t>
    </dgm:pt>
    <dgm:pt modelId="{8EE11197-FC64-4553-A565-74052F42D607}" type="parTrans" cxnId="{4FA96FF6-79C4-4E09-AAD7-4453B60E3C5B}">
      <dgm:prSet/>
      <dgm:spPr/>
      <dgm:t>
        <a:bodyPr/>
        <a:lstStyle/>
        <a:p>
          <a:endParaRPr lang="pl-PL" sz="1050"/>
        </a:p>
      </dgm:t>
    </dgm:pt>
    <dgm:pt modelId="{DAE72142-3B23-4B66-AC3C-4B172B4ABD64}" type="sibTrans" cxnId="{4FA96FF6-79C4-4E09-AAD7-4453B60E3C5B}">
      <dgm:prSet custT="1"/>
      <dgm:spPr/>
      <dgm:t>
        <a:bodyPr/>
        <a:lstStyle/>
        <a:p>
          <a:endParaRPr lang="pl-PL" sz="1050"/>
        </a:p>
      </dgm:t>
    </dgm:pt>
    <dgm:pt modelId="{CE3B3BD3-35DC-425B-96C9-94650FF5DC1C}">
      <dgm:prSet custT="1"/>
      <dgm:spPr/>
      <dgm:t>
        <a:bodyPr/>
        <a:lstStyle/>
        <a:p>
          <a:r>
            <a:rPr lang="pl-PL" sz="1050"/>
            <a:t>Dowód rejestracyjny pojazdu.</a:t>
          </a:r>
        </a:p>
      </dgm:t>
    </dgm:pt>
    <dgm:pt modelId="{42968BFC-4BDC-4949-BF44-965904858139}" type="parTrans" cxnId="{A516CDE2-B845-490B-8227-F9DDEEA9C291}">
      <dgm:prSet/>
      <dgm:spPr/>
      <dgm:t>
        <a:bodyPr/>
        <a:lstStyle/>
        <a:p>
          <a:endParaRPr lang="pl-PL" sz="1050"/>
        </a:p>
      </dgm:t>
    </dgm:pt>
    <dgm:pt modelId="{DC22C0ED-75C6-4214-860E-3F6DDA76183E}" type="sibTrans" cxnId="{A516CDE2-B845-490B-8227-F9DDEEA9C291}">
      <dgm:prSet custT="1"/>
      <dgm:spPr/>
      <dgm:t>
        <a:bodyPr/>
        <a:lstStyle/>
        <a:p>
          <a:endParaRPr lang="pl-PL" sz="1050"/>
        </a:p>
      </dgm:t>
    </dgm:pt>
    <dgm:pt modelId="{6587D3C4-F0A2-462E-A0A3-E83E537F68A4}">
      <dgm:prSet custT="1"/>
      <dgm:spPr/>
      <dgm:t>
        <a:bodyPr/>
        <a:lstStyle/>
        <a:p>
          <a:r>
            <a:rPr lang="pl-PL" sz="1050"/>
            <a:t>Dokument przewozowy z opisem przewożonych towarów niebezpiecznych.</a:t>
          </a:r>
          <a:endParaRPr lang="pl-PL" sz="1050" b="0"/>
        </a:p>
      </dgm:t>
    </dgm:pt>
    <dgm:pt modelId="{98C157E5-169B-4D4E-BC76-BB15CA8E7D0F}" type="parTrans" cxnId="{F145FF4A-9DFB-4AB3-B97C-3D19322CE439}">
      <dgm:prSet/>
      <dgm:spPr/>
      <dgm:t>
        <a:bodyPr/>
        <a:lstStyle/>
        <a:p>
          <a:endParaRPr lang="pl-PL" sz="1050"/>
        </a:p>
      </dgm:t>
    </dgm:pt>
    <dgm:pt modelId="{A7137AD7-BF6E-4155-A15D-F4ED5A0765AA}" type="sibTrans" cxnId="{F145FF4A-9DFB-4AB3-B97C-3D19322CE439}">
      <dgm:prSet custT="1"/>
      <dgm:spPr/>
      <dgm:t>
        <a:bodyPr/>
        <a:lstStyle/>
        <a:p>
          <a:endParaRPr lang="pl-PL" sz="1050"/>
        </a:p>
      </dgm:t>
    </dgm:pt>
    <dgm:pt modelId="{D5104C7D-B733-483C-B543-25F0C71C08D9}">
      <dgm:prSet custT="1"/>
      <dgm:spPr/>
      <dgm:t>
        <a:bodyPr/>
        <a:lstStyle/>
        <a:p>
          <a:r>
            <a:rPr lang="pl-PL" sz="1050"/>
            <a:t>Świadectwo dopuszczenia pojazdu do przewozu drogowego towarów niebezpiecznych.</a:t>
          </a:r>
          <a:endParaRPr lang="pl-PL" sz="1050" b="0"/>
        </a:p>
      </dgm:t>
    </dgm:pt>
    <dgm:pt modelId="{580CC0F5-7D8C-4F70-B8B3-399C447D6720}" type="parTrans" cxnId="{66064F36-5A12-4666-B178-55F0E06B8EEE}">
      <dgm:prSet/>
      <dgm:spPr/>
      <dgm:t>
        <a:bodyPr/>
        <a:lstStyle/>
        <a:p>
          <a:endParaRPr lang="pl-PL" sz="1050"/>
        </a:p>
      </dgm:t>
    </dgm:pt>
    <dgm:pt modelId="{30BDA964-2C35-4681-90A6-133A70FF207F}" type="sibTrans" cxnId="{66064F36-5A12-4666-B178-55F0E06B8EEE}">
      <dgm:prSet/>
      <dgm:spPr/>
      <dgm:t>
        <a:bodyPr/>
        <a:lstStyle/>
        <a:p>
          <a:endParaRPr lang="pl-PL" sz="1050"/>
        </a:p>
      </dgm:t>
    </dgm:pt>
    <dgm:pt modelId="{768E19DF-7113-4B7C-A9A3-0521DD32C4DE}">
      <dgm:prSet custT="1"/>
      <dgm:spPr/>
      <dgm:t>
        <a:bodyPr/>
        <a:lstStyle/>
        <a:p>
          <a:r>
            <a:rPr lang="pl-PL" sz="1000"/>
            <a:t>Zaświadczenie ADR z przeszkolenia kierowców pojazdów przewożących towary niebezpieczne.</a:t>
          </a:r>
          <a:endParaRPr lang="pl-PL" sz="1000" b="0"/>
        </a:p>
      </dgm:t>
    </dgm:pt>
    <dgm:pt modelId="{6A5F3949-BBF2-47CA-8AA5-5036F3854B3A}" type="parTrans" cxnId="{6EC2C1D8-3347-4B69-8B07-1154F4191EC3}">
      <dgm:prSet/>
      <dgm:spPr/>
      <dgm:t>
        <a:bodyPr/>
        <a:lstStyle/>
        <a:p>
          <a:endParaRPr lang="pl-PL"/>
        </a:p>
      </dgm:t>
    </dgm:pt>
    <dgm:pt modelId="{E768E448-BDE1-47B9-BB50-9A5C35640861}" type="sibTrans" cxnId="{6EC2C1D8-3347-4B69-8B07-1154F4191EC3}">
      <dgm:prSet/>
      <dgm:spPr/>
      <dgm:t>
        <a:bodyPr/>
        <a:lstStyle/>
        <a:p>
          <a:endParaRPr lang="pl-PL"/>
        </a:p>
      </dgm:t>
    </dgm:pt>
    <dgm:pt modelId="{8AFFFF13-B6A3-4257-B19C-0539C2C2ED83}">
      <dgm:prSet custT="1"/>
      <dgm:spPr/>
      <dgm:t>
        <a:bodyPr/>
        <a:lstStyle/>
        <a:p>
          <a:r>
            <a:rPr lang="pl-PL" sz="1000"/>
            <a:t>Załadunek odpadów w pakietach foliowych</a:t>
          </a:r>
          <a:r>
            <a:rPr lang="pl-PL" sz="1600"/>
            <a:t>.</a:t>
          </a:r>
        </a:p>
      </dgm:t>
    </dgm:pt>
    <dgm:pt modelId="{7AF20A90-069D-400F-B55F-C3BB84CD7CEF}" type="parTrans" cxnId="{34B948B0-3D59-4EB4-BDA1-40710743D752}">
      <dgm:prSet/>
      <dgm:spPr/>
      <dgm:t>
        <a:bodyPr/>
        <a:lstStyle/>
        <a:p>
          <a:endParaRPr lang="pl-PL"/>
        </a:p>
      </dgm:t>
    </dgm:pt>
    <dgm:pt modelId="{27CBEA04-D640-4BE9-9B7D-6E8D3A60F08E}" type="sibTrans" cxnId="{34B948B0-3D59-4EB4-BDA1-40710743D752}">
      <dgm:prSet/>
      <dgm:spPr/>
      <dgm:t>
        <a:bodyPr/>
        <a:lstStyle/>
        <a:p>
          <a:endParaRPr lang="pl-PL"/>
        </a:p>
      </dgm:t>
    </dgm:pt>
    <dgm:pt modelId="{DB8E7122-7D1A-486E-86A6-0FD78D205FAE}">
      <dgm:prSet custT="1"/>
      <dgm:spPr/>
      <dgm:t>
        <a:bodyPr/>
        <a:lstStyle/>
        <a:p>
          <a:r>
            <a:rPr lang="pl-PL" sz="1000"/>
            <a:t>Zabezpieczenia ładunku przed przesuwaniem.</a:t>
          </a:r>
        </a:p>
      </dgm:t>
    </dgm:pt>
    <dgm:pt modelId="{DD66697A-337D-4FE3-99F2-E5DC869E5379}" type="parTrans" cxnId="{BA69BEFB-19B5-4DC2-9064-982543105D1C}">
      <dgm:prSet/>
      <dgm:spPr/>
      <dgm:t>
        <a:bodyPr/>
        <a:lstStyle/>
        <a:p>
          <a:endParaRPr lang="pl-PL"/>
        </a:p>
      </dgm:t>
    </dgm:pt>
    <dgm:pt modelId="{449DBE8A-5F4E-4006-8D79-C0A3D743FF95}" type="sibTrans" cxnId="{BA69BEFB-19B5-4DC2-9064-982543105D1C}">
      <dgm:prSet/>
      <dgm:spPr/>
      <dgm:t>
        <a:bodyPr/>
        <a:lstStyle/>
        <a:p>
          <a:endParaRPr lang="pl-PL"/>
        </a:p>
      </dgm:t>
    </dgm:pt>
    <dgm:pt modelId="{40A963EE-D177-4A3C-AD7E-E6B9C07A9669}">
      <dgm:prSet custT="1"/>
      <dgm:spPr/>
      <dgm:t>
        <a:bodyPr/>
        <a:lstStyle/>
        <a:p>
          <a:r>
            <a:rPr lang="pl-PL" sz="1000">
              <a:latin typeface="+mn-lt"/>
            </a:rPr>
            <a:t>Oznakowanie pojazdu zgodnie z umową ADR.</a:t>
          </a:r>
        </a:p>
      </dgm:t>
    </dgm:pt>
    <dgm:pt modelId="{24AA6484-DD01-4887-B2A5-B0D6C9B8054D}" type="parTrans" cxnId="{608794B2-DE22-4FEF-8236-6E036DDCC3D9}">
      <dgm:prSet/>
      <dgm:spPr/>
      <dgm:t>
        <a:bodyPr/>
        <a:lstStyle/>
        <a:p>
          <a:endParaRPr lang="pl-PL"/>
        </a:p>
      </dgm:t>
    </dgm:pt>
    <dgm:pt modelId="{D1913FEC-8E22-40C6-9418-2ADD37B0BC6A}" type="sibTrans" cxnId="{608794B2-DE22-4FEF-8236-6E036DDCC3D9}">
      <dgm:prSet/>
      <dgm:spPr/>
      <dgm:t>
        <a:bodyPr/>
        <a:lstStyle/>
        <a:p>
          <a:endParaRPr lang="pl-PL"/>
        </a:p>
      </dgm:t>
    </dgm:pt>
    <dgm:pt modelId="{F373C079-D1DE-45DE-BFDE-1DE8B0C3B175}">
      <dgm:prSet custT="1"/>
      <dgm:spPr/>
      <dgm:t>
        <a:bodyPr/>
        <a:lstStyle/>
        <a:p>
          <a:r>
            <a:rPr lang="pl-PL" sz="900"/>
            <a:t>Transport odpadów na składowisko przeznaczone do składowania odpadów, zawierających azbest.</a:t>
          </a:r>
        </a:p>
        <a:p>
          <a:r>
            <a:rPr lang="pl-PL" sz="900"/>
            <a:t>Przekazanie odpadów na składowisko odpadów - Karta przekazania odpadu.</a:t>
          </a:r>
        </a:p>
      </dgm:t>
    </dgm:pt>
    <dgm:pt modelId="{E75C8B04-E491-4E07-88A7-70DF106CEE79}" type="parTrans" cxnId="{89FE7FEB-9D99-4E70-993F-8E721DBBC9E2}">
      <dgm:prSet/>
      <dgm:spPr/>
      <dgm:t>
        <a:bodyPr/>
        <a:lstStyle/>
        <a:p>
          <a:endParaRPr lang="pl-PL"/>
        </a:p>
      </dgm:t>
    </dgm:pt>
    <dgm:pt modelId="{A495DBF0-3C09-4C4B-B8BD-B6F6C58C20F4}" type="sibTrans" cxnId="{89FE7FEB-9D99-4E70-993F-8E721DBBC9E2}">
      <dgm:prSet/>
      <dgm:spPr/>
      <dgm:t>
        <a:bodyPr/>
        <a:lstStyle/>
        <a:p>
          <a:endParaRPr lang="pl-PL"/>
        </a:p>
      </dgm:t>
    </dgm:pt>
    <dgm:pt modelId="{B22B5C09-9100-436B-9C6F-411082B4F8C2}" type="pres">
      <dgm:prSet presAssocID="{290941DE-A1DB-46F1-B03D-0105B16E5B2F}" presName="Name0" presStyleCnt="0">
        <dgm:presLayoutVars>
          <dgm:dir/>
          <dgm:resizeHandles val="exact"/>
        </dgm:presLayoutVars>
      </dgm:prSet>
      <dgm:spPr/>
    </dgm:pt>
    <dgm:pt modelId="{EBA11BF1-986E-4536-98A8-364577EA7B9B}" type="pres">
      <dgm:prSet presAssocID="{5C412DE9-7057-441A-8C91-C41600E9B5F3}" presName="node" presStyleLbl="node1" presStyleIdx="0" presStyleCnt="15">
        <dgm:presLayoutVars>
          <dgm:bulletEnabled val="1"/>
        </dgm:presLayoutVars>
      </dgm:prSet>
      <dgm:spPr/>
    </dgm:pt>
    <dgm:pt modelId="{1181FD1E-08FA-488E-9FCC-9319D142F28E}" type="pres">
      <dgm:prSet presAssocID="{81D96DCF-4228-41CA-82CC-25F433DE5C16}" presName="sibTrans" presStyleLbl="sibTrans1D1" presStyleIdx="0" presStyleCnt="14"/>
      <dgm:spPr/>
    </dgm:pt>
    <dgm:pt modelId="{E81B558C-CBBF-4E50-A46D-4F8BD0C4988A}" type="pres">
      <dgm:prSet presAssocID="{81D96DCF-4228-41CA-82CC-25F433DE5C16}" presName="connectorText" presStyleLbl="sibTrans1D1" presStyleIdx="0" presStyleCnt="14"/>
      <dgm:spPr/>
    </dgm:pt>
    <dgm:pt modelId="{B3E79C7E-4A29-4263-B041-931FD0C9D871}" type="pres">
      <dgm:prSet presAssocID="{071E8585-3E73-4F0D-BF39-0D93A1C8C681}" presName="node" presStyleLbl="node1" presStyleIdx="1" presStyleCnt="15">
        <dgm:presLayoutVars>
          <dgm:bulletEnabled val="1"/>
        </dgm:presLayoutVars>
      </dgm:prSet>
      <dgm:spPr/>
    </dgm:pt>
    <dgm:pt modelId="{27F3B7D1-5BB8-40A1-A160-A2A330879F9D}" type="pres">
      <dgm:prSet presAssocID="{EA65DC71-A253-4079-98C2-1DB653F09656}" presName="sibTrans" presStyleLbl="sibTrans1D1" presStyleIdx="1" presStyleCnt="14"/>
      <dgm:spPr/>
    </dgm:pt>
    <dgm:pt modelId="{359AC4B4-2C48-4725-8693-760DB93EBC41}" type="pres">
      <dgm:prSet presAssocID="{EA65DC71-A253-4079-98C2-1DB653F09656}" presName="connectorText" presStyleLbl="sibTrans1D1" presStyleIdx="1" presStyleCnt="14"/>
      <dgm:spPr/>
    </dgm:pt>
    <dgm:pt modelId="{A7D1E759-8F10-4114-A25F-09B2988F608B}" type="pres">
      <dgm:prSet presAssocID="{730312BD-7AA1-44B1-9D76-3184C5170F58}" presName="node" presStyleLbl="node1" presStyleIdx="2" presStyleCnt="15">
        <dgm:presLayoutVars>
          <dgm:bulletEnabled val="1"/>
        </dgm:presLayoutVars>
      </dgm:prSet>
      <dgm:spPr/>
    </dgm:pt>
    <dgm:pt modelId="{3919D872-B3A3-4EC0-86A5-1AAF43547F09}" type="pres">
      <dgm:prSet presAssocID="{EF2340CE-7274-4A41-B3D9-9A9BE5A4D87A}" presName="sibTrans" presStyleLbl="sibTrans1D1" presStyleIdx="2" presStyleCnt="14"/>
      <dgm:spPr/>
    </dgm:pt>
    <dgm:pt modelId="{7755FD52-8BF6-42D9-8470-CFA28198F399}" type="pres">
      <dgm:prSet presAssocID="{EF2340CE-7274-4A41-B3D9-9A9BE5A4D87A}" presName="connectorText" presStyleLbl="sibTrans1D1" presStyleIdx="2" presStyleCnt="14"/>
      <dgm:spPr/>
    </dgm:pt>
    <dgm:pt modelId="{4610F32A-E761-47E9-9B10-D57160F33225}" type="pres">
      <dgm:prSet presAssocID="{D1A96D63-6435-406B-AAA1-DD834F9590D2}" presName="node" presStyleLbl="node1" presStyleIdx="3" presStyleCnt="15" custLinFactNeighborX="-3856" custLinFactNeighborY="51">
        <dgm:presLayoutVars>
          <dgm:bulletEnabled val="1"/>
        </dgm:presLayoutVars>
      </dgm:prSet>
      <dgm:spPr/>
    </dgm:pt>
    <dgm:pt modelId="{FDB34492-2D1A-4520-8349-3FD5D6145923}" type="pres">
      <dgm:prSet presAssocID="{5744942C-8D0E-483E-9230-67C39FF5413A}" presName="sibTrans" presStyleLbl="sibTrans1D1" presStyleIdx="3" presStyleCnt="14"/>
      <dgm:spPr/>
    </dgm:pt>
    <dgm:pt modelId="{98D6B273-95BE-4D94-98E7-BE92CBA0AEA7}" type="pres">
      <dgm:prSet presAssocID="{5744942C-8D0E-483E-9230-67C39FF5413A}" presName="connectorText" presStyleLbl="sibTrans1D1" presStyleIdx="3" presStyleCnt="14"/>
      <dgm:spPr/>
    </dgm:pt>
    <dgm:pt modelId="{6BAA4831-CB5F-41DD-8D1A-10986123DE23}" type="pres">
      <dgm:prSet presAssocID="{7E6E47BA-A62E-418C-8AC6-12FE035181BE}" presName="node" presStyleLbl="node1" presStyleIdx="4" presStyleCnt="15">
        <dgm:presLayoutVars>
          <dgm:bulletEnabled val="1"/>
        </dgm:presLayoutVars>
      </dgm:prSet>
      <dgm:spPr/>
    </dgm:pt>
    <dgm:pt modelId="{6F9440A1-7030-493F-A639-FE0615E77D15}" type="pres">
      <dgm:prSet presAssocID="{81A7DC3A-C1DA-4989-938C-F093CCDEC852}" presName="sibTrans" presStyleLbl="sibTrans1D1" presStyleIdx="4" presStyleCnt="14"/>
      <dgm:spPr/>
    </dgm:pt>
    <dgm:pt modelId="{7D09C119-E708-4137-AF05-2068D328EB18}" type="pres">
      <dgm:prSet presAssocID="{81A7DC3A-C1DA-4989-938C-F093CCDEC852}" presName="connectorText" presStyleLbl="sibTrans1D1" presStyleIdx="4" presStyleCnt="14"/>
      <dgm:spPr/>
    </dgm:pt>
    <dgm:pt modelId="{E81F043A-D6B4-4185-8C33-AF5DDDB9B3FF}" type="pres">
      <dgm:prSet presAssocID="{EED90470-F772-43C0-9A67-2F61F0A5158E}" presName="node" presStyleLbl="node1" presStyleIdx="5" presStyleCnt="15">
        <dgm:presLayoutVars>
          <dgm:bulletEnabled val="1"/>
        </dgm:presLayoutVars>
      </dgm:prSet>
      <dgm:spPr/>
    </dgm:pt>
    <dgm:pt modelId="{725237AA-0124-4536-8D7B-52FBB1F5BC7A}" type="pres">
      <dgm:prSet presAssocID="{9FD9EE72-7747-4AED-BF36-3A74F61B4F24}" presName="sibTrans" presStyleLbl="sibTrans1D1" presStyleIdx="5" presStyleCnt="14"/>
      <dgm:spPr/>
    </dgm:pt>
    <dgm:pt modelId="{1E2DF75C-AFD3-4A59-A43D-07260BB68F05}" type="pres">
      <dgm:prSet presAssocID="{9FD9EE72-7747-4AED-BF36-3A74F61B4F24}" presName="connectorText" presStyleLbl="sibTrans1D1" presStyleIdx="5" presStyleCnt="14"/>
      <dgm:spPr/>
    </dgm:pt>
    <dgm:pt modelId="{F54D4DB2-3349-4F00-8B15-6591602A5E9C}" type="pres">
      <dgm:prSet presAssocID="{6EF90803-C57D-4E1C-B56D-A0179806B921}" presName="node" presStyleLbl="node1" presStyleIdx="6" presStyleCnt="15">
        <dgm:presLayoutVars>
          <dgm:bulletEnabled val="1"/>
        </dgm:presLayoutVars>
      </dgm:prSet>
      <dgm:spPr/>
    </dgm:pt>
    <dgm:pt modelId="{C0D17A1F-9EAB-4D12-817B-73219D8FDE16}" type="pres">
      <dgm:prSet presAssocID="{DAE72142-3B23-4B66-AC3C-4B172B4ABD64}" presName="sibTrans" presStyleLbl="sibTrans1D1" presStyleIdx="6" presStyleCnt="14"/>
      <dgm:spPr/>
    </dgm:pt>
    <dgm:pt modelId="{6D4FAAC2-10A2-4D9F-BBFD-AC277B4925AE}" type="pres">
      <dgm:prSet presAssocID="{DAE72142-3B23-4B66-AC3C-4B172B4ABD64}" presName="connectorText" presStyleLbl="sibTrans1D1" presStyleIdx="6" presStyleCnt="14"/>
      <dgm:spPr/>
    </dgm:pt>
    <dgm:pt modelId="{88DE9C6C-6D49-43CF-8385-A41F6FA671BB}" type="pres">
      <dgm:prSet presAssocID="{CE3B3BD3-35DC-425B-96C9-94650FF5DC1C}" presName="node" presStyleLbl="node1" presStyleIdx="7" presStyleCnt="15" custLinFactNeighborX="968" custLinFactNeighborY="-32">
        <dgm:presLayoutVars>
          <dgm:bulletEnabled val="1"/>
        </dgm:presLayoutVars>
      </dgm:prSet>
      <dgm:spPr/>
    </dgm:pt>
    <dgm:pt modelId="{67754DB0-79EE-4FD0-AFF3-EC4D2F9BFDEA}" type="pres">
      <dgm:prSet presAssocID="{DC22C0ED-75C6-4214-860E-3F6DDA76183E}" presName="sibTrans" presStyleLbl="sibTrans1D1" presStyleIdx="7" presStyleCnt="14"/>
      <dgm:spPr/>
    </dgm:pt>
    <dgm:pt modelId="{33CD3A3D-F9E5-4AF3-8B90-78D0C5EB3772}" type="pres">
      <dgm:prSet presAssocID="{DC22C0ED-75C6-4214-860E-3F6DDA76183E}" presName="connectorText" presStyleLbl="sibTrans1D1" presStyleIdx="7" presStyleCnt="14"/>
      <dgm:spPr/>
    </dgm:pt>
    <dgm:pt modelId="{8742F127-F384-4D8B-96AE-61E306EE3B88}" type="pres">
      <dgm:prSet presAssocID="{6587D3C4-F0A2-462E-A0A3-E83E537F68A4}" presName="node" presStyleLbl="node1" presStyleIdx="8" presStyleCnt="15" custLinFactNeighborX="5612" custLinFactNeighborY="32">
        <dgm:presLayoutVars>
          <dgm:bulletEnabled val="1"/>
        </dgm:presLayoutVars>
      </dgm:prSet>
      <dgm:spPr/>
    </dgm:pt>
    <dgm:pt modelId="{3DC71C58-DDCE-4D62-A700-3BFE79F0DC82}" type="pres">
      <dgm:prSet presAssocID="{A7137AD7-BF6E-4155-A15D-F4ED5A0765AA}" presName="sibTrans" presStyleLbl="sibTrans1D1" presStyleIdx="8" presStyleCnt="14"/>
      <dgm:spPr/>
    </dgm:pt>
    <dgm:pt modelId="{04D99072-AD68-4EA0-AD0A-65D7AC6C955A}" type="pres">
      <dgm:prSet presAssocID="{A7137AD7-BF6E-4155-A15D-F4ED5A0765AA}" presName="connectorText" presStyleLbl="sibTrans1D1" presStyleIdx="8" presStyleCnt="14"/>
      <dgm:spPr/>
    </dgm:pt>
    <dgm:pt modelId="{AE06BB4B-262E-4478-9F4F-265D572ACAB8}" type="pres">
      <dgm:prSet presAssocID="{D5104C7D-B733-483C-B543-25F0C71C08D9}" presName="node" presStyleLbl="node1" presStyleIdx="9" presStyleCnt="15">
        <dgm:presLayoutVars>
          <dgm:bulletEnabled val="1"/>
        </dgm:presLayoutVars>
      </dgm:prSet>
      <dgm:spPr/>
    </dgm:pt>
    <dgm:pt modelId="{7DE1EED2-803A-4C9D-8EC1-5BB8738BFF1F}" type="pres">
      <dgm:prSet presAssocID="{30BDA964-2C35-4681-90A6-133A70FF207F}" presName="sibTrans" presStyleLbl="sibTrans1D1" presStyleIdx="9" presStyleCnt="14"/>
      <dgm:spPr/>
    </dgm:pt>
    <dgm:pt modelId="{34341393-06D3-4DBE-97DE-AC2027E32903}" type="pres">
      <dgm:prSet presAssocID="{30BDA964-2C35-4681-90A6-133A70FF207F}" presName="connectorText" presStyleLbl="sibTrans1D1" presStyleIdx="9" presStyleCnt="14"/>
      <dgm:spPr/>
    </dgm:pt>
    <dgm:pt modelId="{53D6FCC5-1EBA-4B0B-9978-A1F34E5F0BC7}" type="pres">
      <dgm:prSet presAssocID="{768E19DF-7113-4B7C-A9A3-0521DD32C4DE}" presName="node" presStyleLbl="node1" presStyleIdx="10" presStyleCnt="15">
        <dgm:presLayoutVars>
          <dgm:bulletEnabled val="1"/>
        </dgm:presLayoutVars>
      </dgm:prSet>
      <dgm:spPr/>
    </dgm:pt>
    <dgm:pt modelId="{DEEA96C7-D5D2-4AF2-BE0E-0071DE094348}" type="pres">
      <dgm:prSet presAssocID="{E768E448-BDE1-47B9-BB50-9A5C35640861}" presName="sibTrans" presStyleLbl="sibTrans1D1" presStyleIdx="10" presStyleCnt="14"/>
      <dgm:spPr/>
    </dgm:pt>
    <dgm:pt modelId="{F2097FA1-A4F2-4E0B-9A17-81D681885218}" type="pres">
      <dgm:prSet presAssocID="{E768E448-BDE1-47B9-BB50-9A5C35640861}" presName="connectorText" presStyleLbl="sibTrans1D1" presStyleIdx="10" presStyleCnt="14"/>
      <dgm:spPr/>
    </dgm:pt>
    <dgm:pt modelId="{4FB74FB8-160D-4046-9DD4-573967C5FF29}" type="pres">
      <dgm:prSet presAssocID="{8AFFFF13-B6A3-4257-B19C-0539C2C2ED83}" presName="node" presStyleLbl="node1" presStyleIdx="11" presStyleCnt="15">
        <dgm:presLayoutVars>
          <dgm:bulletEnabled val="1"/>
        </dgm:presLayoutVars>
      </dgm:prSet>
      <dgm:spPr/>
    </dgm:pt>
    <dgm:pt modelId="{23F3F93D-FDEC-4BEE-A81F-DB4688EB39B6}" type="pres">
      <dgm:prSet presAssocID="{27CBEA04-D640-4BE9-9B7D-6E8D3A60F08E}" presName="sibTrans" presStyleLbl="sibTrans1D1" presStyleIdx="11" presStyleCnt="14"/>
      <dgm:spPr/>
    </dgm:pt>
    <dgm:pt modelId="{B7FE9277-D169-4026-9929-323FE2B7E795}" type="pres">
      <dgm:prSet presAssocID="{27CBEA04-D640-4BE9-9B7D-6E8D3A60F08E}" presName="connectorText" presStyleLbl="sibTrans1D1" presStyleIdx="11" presStyleCnt="14"/>
      <dgm:spPr/>
    </dgm:pt>
    <dgm:pt modelId="{40A436CD-C5E3-40CA-A410-AE3DBABDFEA2}" type="pres">
      <dgm:prSet presAssocID="{DB8E7122-7D1A-486E-86A6-0FD78D205FAE}" presName="node" presStyleLbl="node1" presStyleIdx="12" presStyleCnt="15">
        <dgm:presLayoutVars>
          <dgm:bulletEnabled val="1"/>
        </dgm:presLayoutVars>
      </dgm:prSet>
      <dgm:spPr/>
    </dgm:pt>
    <dgm:pt modelId="{8DA9B9A4-483E-44B7-86B1-231456F4D7F2}" type="pres">
      <dgm:prSet presAssocID="{449DBE8A-5F4E-4006-8D79-C0A3D743FF95}" presName="sibTrans" presStyleLbl="sibTrans1D1" presStyleIdx="12" presStyleCnt="14"/>
      <dgm:spPr/>
    </dgm:pt>
    <dgm:pt modelId="{5B78C27A-1368-4FA2-986B-609F663012EB}" type="pres">
      <dgm:prSet presAssocID="{449DBE8A-5F4E-4006-8D79-C0A3D743FF95}" presName="connectorText" presStyleLbl="sibTrans1D1" presStyleIdx="12" presStyleCnt="14"/>
      <dgm:spPr/>
    </dgm:pt>
    <dgm:pt modelId="{6A022D4C-F62B-49DE-9442-9E9C89E8847D}" type="pres">
      <dgm:prSet presAssocID="{40A963EE-D177-4A3C-AD7E-E6B9C07A9669}" presName="node" presStyleLbl="node1" presStyleIdx="13" presStyleCnt="15">
        <dgm:presLayoutVars>
          <dgm:bulletEnabled val="1"/>
        </dgm:presLayoutVars>
      </dgm:prSet>
      <dgm:spPr/>
    </dgm:pt>
    <dgm:pt modelId="{97668DD9-ABFF-464F-9B7B-38A38274301B}" type="pres">
      <dgm:prSet presAssocID="{D1913FEC-8E22-40C6-9418-2ADD37B0BC6A}" presName="sibTrans" presStyleLbl="sibTrans1D1" presStyleIdx="13" presStyleCnt="14"/>
      <dgm:spPr/>
    </dgm:pt>
    <dgm:pt modelId="{9725371B-78C9-4CD1-A101-36A8DF61CD6E}" type="pres">
      <dgm:prSet presAssocID="{D1913FEC-8E22-40C6-9418-2ADD37B0BC6A}" presName="connectorText" presStyleLbl="sibTrans1D1" presStyleIdx="13" presStyleCnt="14"/>
      <dgm:spPr/>
    </dgm:pt>
    <dgm:pt modelId="{3240B93A-13C0-4FF8-A976-28EC61E0D108}" type="pres">
      <dgm:prSet presAssocID="{F373C079-D1DE-45DE-BFDE-1DE8B0C3B175}" presName="node" presStyleLbl="node1" presStyleIdx="14" presStyleCnt="15">
        <dgm:presLayoutVars>
          <dgm:bulletEnabled val="1"/>
        </dgm:presLayoutVars>
      </dgm:prSet>
      <dgm:spPr/>
    </dgm:pt>
  </dgm:ptLst>
  <dgm:cxnLst>
    <dgm:cxn modelId="{319EA301-1045-47A4-93EB-4A5CD61D6DD8}" type="presOf" srcId="{9FD9EE72-7747-4AED-BF36-3A74F61B4F24}" destId="{1E2DF75C-AFD3-4A59-A43D-07260BB68F05}" srcOrd="1" destOrd="0" presId="urn:microsoft.com/office/officeart/2005/8/layout/bProcess3"/>
    <dgm:cxn modelId="{36055605-E78C-454E-BF05-2BDCB5CD6F48}" srcId="{290941DE-A1DB-46F1-B03D-0105B16E5B2F}" destId="{EED90470-F772-43C0-9A67-2F61F0A5158E}" srcOrd="5" destOrd="0" parTransId="{046DCB86-025F-4F68-B1C4-92CBB6FC8ED3}" sibTransId="{9FD9EE72-7747-4AED-BF36-3A74F61B4F24}"/>
    <dgm:cxn modelId="{D5C0D20C-B54F-4D56-88E8-09813269EC55}" type="presOf" srcId="{DAE72142-3B23-4B66-AC3C-4B172B4ABD64}" destId="{C0D17A1F-9EAB-4D12-817B-73219D8FDE16}" srcOrd="0" destOrd="0" presId="urn:microsoft.com/office/officeart/2005/8/layout/bProcess3"/>
    <dgm:cxn modelId="{9CAF3A0F-E230-4D6C-85F0-D212BD000952}" type="presOf" srcId="{EA65DC71-A253-4079-98C2-1DB653F09656}" destId="{359AC4B4-2C48-4725-8693-760DB93EBC41}" srcOrd="1" destOrd="0" presId="urn:microsoft.com/office/officeart/2005/8/layout/bProcess3"/>
    <dgm:cxn modelId="{826C4315-F620-47E6-9C25-E60FFE0391DC}" type="presOf" srcId="{81D96DCF-4228-41CA-82CC-25F433DE5C16}" destId="{E81B558C-CBBF-4E50-A46D-4F8BD0C4988A}" srcOrd="1" destOrd="0" presId="urn:microsoft.com/office/officeart/2005/8/layout/bProcess3"/>
    <dgm:cxn modelId="{990DE41B-BD36-416E-976C-D680F0DF6371}" type="presOf" srcId="{30BDA964-2C35-4681-90A6-133A70FF207F}" destId="{34341393-06D3-4DBE-97DE-AC2027E32903}" srcOrd="1" destOrd="0" presId="urn:microsoft.com/office/officeart/2005/8/layout/bProcess3"/>
    <dgm:cxn modelId="{E42DBC2B-E0F9-4041-A84E-5978627A73BA}" type="presOf" srcId="{7E6E47BA-A62E-418C-8AC6-12FE035181BE}" destId="{6BAA4831-CB5F-41DD-8D1A-10986123DE23}" srcOrd="0" destOrd="0" presId="urn:microsoft.com/office/officeart/2005/8/layout/bProcess3"/>
    <dgm:cxn modelId="{D0AF3A2F-85B3-4F77-9CC0-47FCAB3743BB}" type="presOf" srcId="{DC22C0ED-75C6-4214-860E-3F6DDA76183E}" destId="{33CD3A3D-F9E5-4AF3-8B90-78D0C5EB3772}" srcOrd="1" destOrd="0" presId="urn:microsoft.com/office/officeart/2005/8/layout/bProcess3"/>
    <dgm:cxn modelId="{D6912C31-5913-4716-A8C0-E742C94CF084}" type="presOf" srcId="{8AFFFF13-B6A3-4257-B19C-0539C2C2ED83}" destId="{4FB74FB8-160D-4046-9DD4-573967C5FF29}" srcOrd="0" destOrd="0" presId="urn:microsoft.com/office/officeart/2005/8/layout/bProcess3"/>
    <dgm:cxn modelId="{66064F36-5A12-4666-B178-55F0E06B8EEE}" srcId="{290941DE-A1DB-46F1-B03D-0105B16E5B2F}" destId="{D5104C7D-B733-483C-B543-25F0C71C08D9}" srcOrd="9" destOrd="0" parTransId="{580CC0F5-7D8C-4F70-B8B3-399C447D6720}" sibTransId="{30BDA964-2C35-4681-90A6-133A70FF207F}"/>
    <dgm:cxn modelId="{A49B973D-FD67-4CF0-AA8B-452B61970F78}" type="presOf" srcId="{9FD9EE72-7747-4AED-BF36-3A74F61B4F24}" destId="{725237AA-0124-4536-8D7B-52FBB1F5BC7A}" srcOrd="0" destOrd="0" presId="urn:microsoft.com/office/officeart/2005/8/layout/bProcess3"/>
    <dgm:cxn modelId="{A636973E-4A26-4B22-A303-2AB56BD7387F}" type="presOf" srcId="{D1A96D63-6435-406B-AAA1-DD834F9590D2}" destId="{4610F32A-E761-47E9-9B10-D57160F33225}" srcOrd="0" destOrd="0" presId="urn:microsoft.com/office/officeart/2005/8/layout/bProcess3"/>
    <dgm:cxn modelId="{ED152B65-2D99-48A6-9376-F0B0B34B4023}" type="presOf" srcId="{EA65DC71-A253-4079-98C2-1DB653F09656}" destId="{27F3B7D1-5BB8-40A1-A160-A2A330879F9D}" srcOrd="0" destOrd="0" presId="urn:microsoft.com/office/officeart/2005/8/layout/bProcess3"/>
    <dgm:cxn modelId="{3A475F65-F2E6-4580-AC27-1B7C1F146ABD}" type="presOf" srcId="{A7137AD7-BF6E-4155-A15D-F4ED5A0765AA}" destId="{3DC71C58-DDCE-4D62-A700-3BFE79F0DC82}" srcOrd="0" destOrd="0" presId="urn:microsoft.com/office/officeart/2005/8/layout/bProcess3"/>
    <dgm:cxn modelId="{F249BB45-5D07-4F5B-AA0B-49FD63E60C70}" type="presOf" srcId="{768E19DF-7113-4B7C-A9A3-0521DD32C4DE}" destId="{53D6FCC5-1EBA-4B0B-9978-A1F34E5F0BC7}" srcOrd="0" destOrd="0" presId="urn:microsoft.com/office/officeart/2005/8/layout/bProcess3"/>
    <dgm:cxn modelId="{75582649-3334-4D37-BA41-338E2B8FDFF2}" type="presOf" srcId="{DAE72142-3B23-4B66-AC3C-4B172B4ABD64}" destId="{6D4FAAC2-10A2-4D9F-BBFD-AC277B4925AE}" srcOrd="1" destOrd="0" presId="urn:microsoft.com/office/officeart/2005/8/layout/bProcess3"/>
    <dgm:cxn modelId="{E11C2E69-60EA-409E-AF97-48E723AB03B3}" type="presOf" srcId="{CE3B3BD3-35DC-425B-96C9-94650FF5DC1C}" destId="{88DE9C6C-6D49-43CF-8385-A41F6FA671BB}" srcOrd="0" destOrd="0" presId="urn:microsoft.com/office/officeart/2005/8/layout/bProcess3"/>
    <dgm:cxn modelId="{473A6069-385D-4AE3-93D9-C8A5FEAC0C66}" type="presOf" srcId="{A7137AD7-BF6E-4155-A15D-F4ED5A0765AA}" destId="{04D99072-AD68-4EA0-AD0A-65D7AC6C955A}" srcOrd="1" destOrd="0" presId="urn:microsoft.com/office/officeart/2005/8/layout/bProcess3"/>
    <dgm:cxn modelId="{F145FF4A-9DFB-4AB3-B97C-3D19322CE439}" srcId="{290941DE-A1DB-46F1-B03D-0105B16E5B2F}" destId="{6587D3C4-F0A2-462E-A0A3-E83E537F68A4}" srcOrd="8" destOrd="0" parTransId="{98C157E5-169B-4D4E-BC76-BB15CA8E7D0F}" sibTransId="{A7137AD7-BF6E-4155-A15D-F4ED5A0765AA}"/>
    <dgm:cxn modelId="{827F0D6D-2098-4961-986D-FC7F0118D608}" type="presOf" srcId="{449DBE8A-5F4E-4006-8D79-C0A3D743FF95}" destId="{8DA9B9A4-483E-44B7-86B1-231456F4D7F2}" srcOrd="0" destOrd="0" presId="urn:microsoft.com/office/officeart/2005/8/layout/bProcess3"/>
    <dgm:cxn modelId="{00B5E251-C9FD-4140-AB95-55B7AAD5A0A1}" type="presOf" srcId="{D1913FEC-8E22-40C6-9418-2ADD37B0BC6A}" destId="{9725371B-78C9-4CD1-A101-36A8DF61CD6E}" srcOrd="1" destOrd="0" presId="urn:microsoft.com/office/officeart/2005/8/layout/bProcess3"/>
    <dgm:cxn modelId="{1186C356-AA4C-401E-8550-30DE1CA3654F}" srcId="{290941DE-A1DB-46F1-B03D-0105B16E5B2F}" destId="{D1A96D63-6435-406B-AAA1-DD834F9590D2}" srcOrd="3" destOrd="0" parTransId="{228405FB-4401-4C81-B57D-8600070D4630}" sibTransId="{5744942C-8D0E-483E-9230-67C39FF5413A}"/>
    <dgm:cxn modelId="{7C1CFE76-EF27-4A85-B534-16FD73608D80}" srcId="{290941DE-A1DB-46F1-B03D-0105B16E5B2F}" destId="{071E8585-3E73-4F0D-BF39-0D93A1C8C681}" srcOrd="1" destOrd="0" parTransId="{7AC14C30-0099-47E1-86F8-ED2E90365331}" sibTransId="{EA65DC71-A253-4079-98C2-1DB653F09656}"/>
    <dgm:cxn modelId="{67EFFE5A-DAC6-41D5-9AE6-8D1D6BB78229}" type="presOf" srcId="{EF2340CE-7274-4A41-B3D9-9A9BE5A4D87A}" destId="{7755FD52-8BF6-42D9-8470-CFA28198F399}" srcOrd="1" destOrd="0" presId="urn:microsoft.com/office/officeart/2005/8/layout/bProcess3"/>
    <dgm:cxn modelId="{E5B1687C-A7FB-4237-AF4E-70EBFF15AFD2}" type="presOf" srcId="{27CBEA04-D640-4BE9-9B7D-6E8D3A60F08E}" destId="{B7FE9277-D169-4026-9929-323FE2B7E795}" srcOrd="1" destOrd="0" presId="urn:microsoft.com/office/officeart/2005/8/layout/bProcess3"/>
    <dgm:cxn modelId="{B52AFB7D-E862-4C06-894A-10F3C19BF8F4}" type="presOf" srcId="{E768E448-BDE1-47B9-BB50-9A5C35640861}" destId="{F2097FA1-A4F2-4E0B-9A17-81D681885218}" srcOrd="1" destOrd="0" presId="urn:microsoft.com/office/officeart/2005/8/layout/bProcess3"/>
    <dgm:cxn modelId="{08300C82-B8C5-407D-849A-A7FB4ED5D18E}" type="presOf" srcId="{DC22C0ED-75C6-4214-860E-3F6DDA76183E}" destId="{67754DB0-79EE-4FD0-AFF3-EC4D2F9BFDEA}" srcOrd="0" destOrd="0" presId="urn:microsoft.com/office/officeart/2005/8/layout/bProcess3"/>
    <dgm:cxn modelId="{F91EC583-6FE8-4B7A-BE43-33A801AC690F}" type="presOf" srcId="{449DBE8A-5F4E-4006-8D79-C0A3D743FF95}" destId="{5B78C27A-1368-4FA2-986B-609F663012EB}" srcOrd="1" destOrd="0" presId="urn:microsoft.com/office/officeart/2005/8/layout/bProcess3"/>
    <dgm:cxn modelId="{63E5508D-2D6C-4A90-95F6-D43EA018094A}" type="presOf" srcId="{27CBEA04-D640-4BE9-9B7D-6E8D3A60F08E}" destId="{23F3F93D-FDEC-4BEE-A81F-DB4688EB39B6}" srcOrd="0" destOrd="0" presId="urn:microsoft.com/office/officeart/2005/8/layout/bProcess3"/>
    <dgm:cxn modelId="{090D3291-5D94-4180-85FC-5E23EA0BA8B7}" type="presOf" srcId="{30BDA964-2C35-4681-90A6-133A70FF207F}" destId="{7DE1EED2-803A-4C9D-8EC1-5BB8738BFF1F}" srcOrd="0" destOrd="0" presId="urn:microsoft.com/office/officeart/2005/8/layout/bProcess3"/>
    <dgm:cxn modelId="{AC21DC97-00AC-4BE1-B037-FFBEE2C1EC06}" type="presOf" srcId="{071E8585-3E73-4F0D-BF39-0D93A1C8C681}" destId="{B3E79C7E-4A29-4263-B041-931FD0C9D871}" srcOrd="0" destOrd="0" presId="urn:microsoft.com/office/officeart/2005/8/layout/bProcess3"/>
    <dgm:cxn modelId="{E35BF498-D263-4907-A458-F953FE53167E}" type="presOf" srcId="{81D96DCF-4228-41CA-82CC-25F433DE5C16}" destId="{1181FD1E-08FA-488E-9FCC-9319D142F28E}" srcOrd="0" destOrd="0" presId="urn:microsoft.com/office/officeart/2005/8/layout/bProcess3"/>
    <dgm:cxn modelId="{59CA9DA0-BC5F-4918-BA3C-B687A29D7964}" srcId="{290941DE-A1DB-46F1-B03D-0105B16E5B2F}" destId="{730312BD-7AA1-44B1-9D76-3184C5170F58}" srcOrd="2" destOrd="0" parTransId="{5E4ED77C-2A43-4942-B176-8220DC4636DB}" sibTransId="{EF2340CE-7274-4A41-B3D9-9A9BE5A4D87A}"/>
    <dgm:cxn modelId="{4A40CFA7-80DE-4585-B58A-F9AAD1C39102}" type="presOf" srcId="{D1913FEC-8E22-40C6-9418-2ADD37B0BC6A}" destId="{97668DD9-ABFF-464F-9B7B-38A38274301B}" srcOrd="0" destOrd="0" presId="urn:microsoft.com/office/officeart/2005/8/layout/bProcess3"/>
    <dgm:cxn modelId="{5DDF37AA-0A66-48AA-A6CC-B090634FB4BB}" srcId="{290941DE-A1DB-46F1-B03D-0105B16E5B2F}" destId="{7E6E47BA-A62E-418C-8AC6-12FE035181BE}" srcOrd="4" destOrd="0" parTransId="{46FEFA24-FD12-47AB-BC2C-920EBB449EAC}" sibTransId="{81A7DC3A-C1DA-4989-938C-F093CCDEC852}"/>
    <dgm:cxn modelId="{06BD96AC-4E27-4C96-BD57-C6953970A1F5}" type="presOf" srcId="{81A7DC3A-C1DA-4989-938C-F093CCDEC852}" destId="{7D09C119-E708-4137-AF05-2068D328EB18}" srcOrd="1" destOrd="0" presId="urn:microsoft.com/office/officeart/2005/8/layout/bProcess3"/>
    <dgm:cxn modelId="{8F6E27B0-AEB3-43F0-A725-E1668F484389}" type="presOf" srcId="{730312BD-7AA1-44B1-9D76-3184C5170F58}" destId="{A7D1E759-8F10-4114-A25F-09B2988F608B}" srcOrd="0" destOrd="0" presId="urn:microsoft.com/office/officeart/2005/8/layout/bProcess3"/>
    <dgm:cxn modelId="{34B948B0-3D59-4EB4-BDA1-40710743D752}" srcId="{290941DE-A1DB-46F1-B03D-0105B16E5B2F}" destId="{8AFFFF13-B6A3-4257-B19C-0539C2C2ED83}" srcOrd="11" destOrd="0" parTransId="{7AF20A90-069D-400F-B55F-C3BB84CD7CEF}" sibTransId="{27CBEA04-D640-4BE9-9B7D-6E8D3A60F08E}"/>
    <dgm:cxn modelId="{608794B2-DE22-4FEF-8236-6E036DDCC3D9}" srcId="{290941DE-A1DB-46F1-B03D-0105B16E5B2F}" destId="{40A963EE-D177-4A3C-AD7E-E6B9C07A9669}" srcOrd="13" destOrd="0" parTransId="{24AA6484-DD01-4887-B2A5-B0D6C9B8054D}" sibTransId="{D1913FEC-8E22-40C6-9418-2ADD37B0BC6A}"/>
    <dgm:cxn modelId="{AFF776B5-C68F-4D1D-9E58-3746FD4E198F}" type="presOf" srcId="{290941DE-A1DB-46F1-B03D-0105B16E5B2F}" destId="{B22B5C09-9100-436B-9C6F-411082B4F8C2}" srcOrd="0" destOrd="0" presId="urn:microsoft.com/office/officeart/2005/8/layout/bProcess3"/>
    <dgm:cxn modelId="{099EABB5-E38A-46F4-AEDA-6C6F0DDC36F3}" type="presOf" srcId="{D5104C7D-B733-483C-B543-25F0C71C08D9}" destId="{AE06BB4B-262E-4478-9F4F-265D572ACAB8}" srcOrd="0" destOrd="0" presId="urn:microsoft.com/office/officeart/2005/8/layout/bProcess3"/>
    <dgm:cxn modelId="{68EABFB8-B5E7-4937-9680-897BFB75D817}" type="presOf" srcId="{5C412DE9-7057-441A-8C91-C41600E9B5F3}" destId="{EBA11BF1-986E-4536-98A8-364577EA7B9B}" srcOrd="0" destOrd="0" presId="urn:microsoft.com/office/officeart/2005/8/layout/bProcess3"/>
    <dgm:cxn modelId="{6EAB76C3-DBC9-4C92-B43A-68722A76A1BC}" type="presOf" srcId="{EF2340CE-7274-4A41-B3D9-9A9BE5A4D87A}" destId="{3919D872-B3A3-4EC0-86A5-1AAF43547F09}" srcOrd="0" destOrd="0" presId="urn:microsoft.com/office/officeart/2005/8/layout/bProcess3"/>
    <dgm:cxn modelId="{C549D0CC-840F-4F23-809A-E157EB976CEE}" type="presOf" srcId="{6587D3C4-F0A2-462E-A0A3-E83E537F68A4}" destId="{8742F127-F384-4D8B-96AE-61E306EE3B88}" srcOrd="0" destOrd="0" presId="urn:microsoft.com/office/officeart/2005/8/layout/bProcess3"/>
    <dgm:cxn modelId="{B24CDACF-8BC0-463F-A1C9-1BB5C68A3AD6}" type="presOf" srcId="{EED90470-F772-43C0-9A67-2F61F0A5158E}" destId="{E81F043A-D6B4-4185-8C33-AF5DDDB9B3FF}" srcOrd="0" destOrd="0" presId="urn:microsoft.com/office/officeart/2005/8/layout/bProcess3"/>
    <dgm:cxn modelId="{249D2CD1-3687-4FD5-BDC1-397E46FDF6C3}" type="presOf" srcId="{6EF90803-C57D-4E1C-B56D-A0179806B921}" destId="{F54D4DB2-3349-4F00-8B15-6591602A5E9C}" srcOrd="0" destOrd="0" presId="urn:microsoft.com/office/officeart/2005/8/layout/bProcess3"/>
    <dgm:cxn modelId="{6EC2C1D8-3347-4B69-8B07-1154F4191EC3}" srcId="{290941DE-A1DB-46F1-B03D-0105B16E5B2F}" destId="{768E19DF-7113-4B7C-A9A3-0521DD32C4DE}" srcOrd="10" destOrd="0" parTransId="{6A5F3949-BBF2-47CA-8AA5-5036F3854B3A}" sibTransId="{E768E448-BDE1-47B9-BB50-9A5C35640861}"/>
    <dgm:cxn modelId="{223C0DDF-347E-468D-8E21-B9A7A9B3EC26}" type="presOf" srcId="{F373C079-D1DE-45DE-BFDE-1DE8B0C3B175}" destId="{3240B93A-13C0-4FF8-A976-28EC61E0D108}" srcOrd="0" destOrd="0" presId="urn:microsoft.com/office/officeart/2005/8/layout/bProcess3"/>
    <dgm:cxn modelId="{6F3BD7E1-087F-4CCA-8326-BB6937E70FD0}" srcId="{290941DE-A1DB-46F1-B03D-0105B16E5B2F}" destId="{5C412DE9-7057-441A-8C91-C41600E9B5F3}" srcOrd="0" destOrd="0" parTransId="{AE4E9A24-47BD-4690-AF30-14A690F1AA44}" sibTransId="{81D96DCF-4228-41CA-82CC-25F433DE5C16}"/>
    <dgm:cxn modelId="{11EC1FE2-27F3-47E7-99D0-BC92FBADD4B5}" type="presOf" srcId="{E768E448-BDE1-47B9-BB50-9A5C35640861}" destId="{DEEA96C7-D5D2-4AF2-BE0E-0071DE094348}" srcOrd="0" destOrd="0" presId="urn:microsoft.com/office/officeart/2005/8/layout/bProcess3"/>
    <dgm:cxn modelId="{A516CDE2-B845-490B-8227-F9DDEEA9C291}" srcId="{290941DE-A1DB-46F1-B03D-0105B16E5B2F}" destId="{CE3B3BD3-35DC-425B-96C9-94650FF5DC1C}" srcOrd="7" destOrd="0" parTransId="{42968BFC-4BDC-4949-BF44-965904858139}" sibTransId="{DC22C0ED-75C6-4214-860E-3F6DDA76183E}"/>
    <dgm:cxn modelId="{89FE7FEB-9D99-4E70-993F-8E721DBBC9E2}" srcId="{290941DE-A1DB-46F1-B03D-0105B16E5B2F}" destId="{F373C079-D1DE-45DE-BFDE-1DE8B0C3B175}" srcOrd="14" destOrd="0" parTransId="{E75C8B04-E491-4E07-88A7-70DF106CEE79}" sibTransId="{A495DBF0-3C09-4C4B-B8BD-B6F6C58C20F4}"/>
    <dgm:cxn modelId="{273AFCEF-5E84-47CE-9186-7EC63C9E41CC}" type="presOf" srcId="{40A963EE-D177-4A3C-AD7E-E6B9C07A9669}" destId="{6A022D4C-F62B-49DE-9442-9E9C89E8847D}" srcOrd="0" destOrd="0" presId="urn:microsoft.com/office/officeart/2005/8/layout/bProcess3"/>
    <dgm:cxn modelId="{AF12CBF0-203C-4EFD-AE14-06CBB1A7D7FF}" type="presOf" srcId="{DB8E7122-7D1A-486E-86A6-0FD78D205FAE}" destId="{40A436CD-C5E3-40CA-A410-AE3DBABDFEA2}" srcOrd="0" destOrd="0" presId="urn:microsoft.com/office/officeart/2005/8/layout/bProcess3"/>
    <dgm:cxn modelId="{3031F6F3-BCFE-480F-A173-9B09CBD9B451}" type="presOf" srcId="{5744942C-8D0E-483E-9230-67C39FF5413A}" destId="{98D6B273-95BE-4D94-98E7-BE92CBA0AEA7}" srcOrd="1" destOrd="0" presId="urn:microsoft.com/office/officeart/2005/8/layout/bProcess3"/>
    <dgm:cxn modelId="{4FA96FF6-79C4-4E09-AAD7-4453B60E3C5B}" srcId="{290941DE-A1DB-46F1-B03D-0105B16E5B2F}" destId="{6EF90803-C57D-4E1C-B56D-A0179806B921}" srcOrd="6" destOrd="0" parTransId="{8EE11197-FC64-4553-A565-74052F42D607}" sibTransId="{DAE72142-3B23-4B66-AC3C-4B172B4ABD64}"/>
    <dgm:cxn modelId="{DDE866F8-CD4B-4230-9417-27189A355F94}" type="presOf" srcId="{5744942C-8D0E-483E-9230-67C39FF5413A}" destId="{FDB34492-2D1A-4520-8349-3FD5D6145923}" srcOrd="0" destOrd="0" presId="urn:microsoft.com/office/officeart/2005/8/layout/bProcess3"/>
    <dgm:cxn modelId="{BA69BEFB-19B5-4DC2-9064-982543105D1C}" srcId="{290941DE-A1DB-46F1-B03D-0105B16E5B2F}" destId="{DB8E7122-7D1A-486E-86A6-0FD78D205FAE}" srcOrd="12" destOrd="0" parTransId="{DD66697A-337D-4FE3-99F2-E5DC869E5379}" sibTransId="{449DBE8A-5F4E-4006-8D79-C0A3D743FF95}"/>
    <dgm:cxn modelId="{A67A25FF-7C75-41C7-AD79-59AACA057893}" type="presOf" srcId="{81A7DC3A-C1DA-4989-938C-F093CCDEC852}" destId="{6F9440A1-7030-493F-A639-FE0615E77D15}" srcOrd="0" destOrd="0" presId="urn:microsoft.com/office/officeart/2005/8/layout/bProcess3"/>
    <dgm:cxn modelId="{7B7C9285-3BA6-4991-8046-59923E852194}" type="presParOf" srcId="{B22B5C09-9100-436B-9C6F-411082B4F8C2}" destId="{EBA11BF1-986E-4536-98A8-364577EA7B9B}" srcOrd="0" destOrd="0" presId="urn:microsoft.com/office/officeart/2005/8/layout/bProcess3"/>
    <dgm:cxn modelId="{91F7A159-3E4D-4470-82A4-C6AB15C63FAF}" type="presParOf" srcId="{B22B5C09-9100-436B-9C6F-411082B4F8C2}" destId="{1181FD1E-08FA-488E-9FCC-9319D142F28E}" srcOrd="1" destOrd="0" presId="urn:microsoft.com/office/officeart/2005/8/layout/bProcess3"/>
    <dgm:cxn modelId="{9C6FDFEF-2375-4479-AA7B-CD87042AD696}" type="presParOf" srcId="{1181FD1E-08FA-488E-9FCC-9319D142F28E}" destId="{E81B558C-CBBF-4E50-A46D-4F8BD0C4988A}" srcOrd="0" destOrd="0" presId="urn:microsoft.com/office/officeart/2005/8/layout/bProcess3"/>
    <dgm:cxn modelId="{3AB10E1B-7C71-4EBA-BDDB-B954D75D00D7}" type="presParOf" srcId="{B22B5C09-9100-436B-9C6F-411082B4F8C2}" destId="{B3E79C7E-4A29-4263-B041-931FD0C9D871}" srcOrd="2" destOrd="0" presId="urn:microsoft.com/office/officeart/2005/8/layout/bProcess3"/>
    <dgm:cxn modelId="{7C1809BA-AEC5-4D80-B0C1-0326B52A54C0}" type="presParOf" srcId="{B22B5C09-9100-436B-9C6F-411082B4F8C2}" destId="{27F3B7D1-5BB8-40A1-A160-A2A330879F9D}" srcOrd="3" destOrd="0" presId="urn:microsoft.com/office/officeart/2005/8/layout/bProcess3"/>
    <dgm:cxn modelId="{08CD8599-E15E-464C-B40A-850B13B47362}" type="presParOf" srcId="{27F3B7D1-5BB8-40A1-A160-A2A330879F9D}" destId="{359AC4B4-2C48-4725-8693-760DB93EBC41}" srcOrd="0" destOrd="0" presId="urn:microsoft.com/office/officeart/2005/8/layout/bProcess3"/>
    <dgm:cxn modelId="{7E3F86F8-40F4-4994-AE3A-0866820587E4}" type="presParOf" srcId="{B22B5C09-9100-436B-9C6F-411082B4F8C2}" destId="{A7D1E759-8F10-4114-A25F-09B2988F608B}" srcOrd="4" destOrd="0" presId="urn:microsoft.com/office/officeart/2005/8/layout/bProcess3"/>
    <dgm:cxn modelId="{2F8F0147-0234-4115-BA29-A81500F8C0CC}" type="presParOf" srcId="{B22B5C09-9100-436B-9C6F-411082B4F8C2}" destId="{3919D872-B3A3-4EC0-86A5-1AAF43547F09}" srcOrd="5" destOrd="0" presId="urn:microsoft.com/office/officeart/2005/8/layout/bProcess3"/>
    <dgm:cxn modelId="{C86B8AC6-777B-4A02-8B32-15F390AAE9A4}" type="presParOf" srcId="{3919D872-B3A3-4EC0-86A5-1AAF43547F09}" destId="{7755FD52-8BF6-42D9-8470-CFA28198F399}" srcOrd="0" destOrd="0" presId="urn:microsoft.com/office/officeart/2005/8/layout/bProcess3"/>
    <dgm:cxn modelId="{1F42D8BB-BF41-4085-9222-8620C3356F52}" type="presParOf" srcId="{B22B5C09-9100-436B-9C6F-411082B4F8C2}" destId="{4610F32A-E761-47E9-9B10-D57160F33225}" srcOrd="6" destOrd="0" presId="urn:microsoft.com/office/officeart/2005/8/layout/bProcess3"/>
    <dgm:cxn modelId="{5B06CF6C-E54F-45DE-8C00-ABAAD16D5244}" type="presParOf" srcId="{B22B5C09-9100-436B-9C6F-411082B4F8C2}" destId="{FDB34492-2D1A-4520-8349-3FD5D6145923}" srcOrd="7" destOrd="0" presId="urn:microsoft.com/office/officeart/2005/8/layout/bProcess3"/>
    <dgm:cxn modelId="{E5F50E37-0CF9-45DC-B45F-417035035A98}" type="presParOf" srcId="{FDB34492-2D1A-4520-8349-3FD5D6145923}" destId="{98D6B273-95BE-4D94-98E7-BE92CBA0AEA7}" srcOrd="0" destOrd="0" presId="urn:microsoft.com/office/officeart/2005/8/layout/bProcess3"/>
    <dgm:cxn modelId="{0CCB351B-1BF9-41C3-B818-02AB209BF931}" type="presParOf" srcId="{B22B5C09-9100-436B-9C6F-411082B4F8C2}" destId="{6BAA4831-CB5F-41DD-8D1A-10986123DE23}" srcOrd="8" destOrd="0" presId="urn:microsoft.com/office/officeart/2005/8/layout/bProcess3"/>
    <dgm:cxn modelId="{CB896317-BEC8-45AF-8338-DE075FC3FF68}" type="presParOf" srcId="{B22B5C09-9100-436B-9C6F-411082B4F8C2}" destId="{6F9440A1-7030-493F-A639-FE0615E77D15}" srcOrd="9" destOrd="0" presId="urn:microsoft.com/office/officeart/2005/8/layout/bProcess3"/>
    <dgm:cxn modelId="{23ACD16A-3A92-4D2E-9CAF-154C1724027A}" type="presParOf" srcId="{6F9440A1-7030-493F-A639-FE0615E77D15}" destId="{7D09C119-E708-4137-AF05-2068D328EB18}" srcOrd="0" destOrd="0" presId="urn:microsoft.com/office/officeart/2005/8/layout/bProcess3"/>
    <dgm:cxn modelId="{451D8FA6-E3EE-4C5F-BF9C-73C1DD837E71}" type="presParOf" srcId="{B22B5C09-9100-436B-9C6F-411082B4F8C2}" destId="{E81F043A-D6B4-4185-8C33-AF5DDDB9B3FF}" srcOrd="10" destOrd="0" presId="urn:microsoft.com/office/officeart/2005/8/layout/bProcess3"/>
    <dgm:cxn modelId="{97262EE6-6501-466C-8FF2-250219A073CB}" type="presParOf" srcId="{B22B5C09-9100-436B-9C6F-411082B4F8C2}" destId="{725237AA-0124-4536-8D7B-52FBB1F5BC7A}" srcOrd="11" destOrd="0" presId="urn:microsoft.com/office/officeart/2005/8/layout/bProcess3"/>
    <dgm:cxn modelId="{C1300B7A-EB8A-49D1-B7A0-BCF5D6F90959}" type="presParOf" srcId="{725237AA-0124-4536-8D7B-52FBB1F5BC7A}" destId="{1E2DF75C-AFD3-4A59-A43D-07260BB68F05}" srcOrd="0" destOrd="0" presId="urn:microsoft.com/office/officeart/2005/8/layout/bProcess3"/>
    <dgm:cxn modelId="{A9916E12-0B6C-4AE7-8D0D-B6795C51F521}" type="presParOf" srcId="{B22B5C09-9100-436B-9C6F-411082B4F8C2}" destId="{F54D4DB2-3349-4F00-8B15-6591602A5E9C}" srcOrd="12" destOrd="0" presId="urn:microsoft.com/office/officeart/2005/8/layout/bProcess3"/>
    <dgm:cxn modelId="{0089C5AB-F82C-4E1F-AA8F-54664F4362D9}" type="presParOf" srcId="{B22B5C09-9100-436B-9C6F-411082B4F8C2}" destId="{C0D17A1F-9EAB-4D12-817B-73219D8FDE16}" srcOrd="13" destOrd="0" presId="urn:microsoft.com/office/officeart/2005/8/layout/bProcess3"/>
    <dgm:cxn modelId="{EE378884-6F2F-4AB6-934B-710D799C1ACB}" type="presParOf" srcId="{C0D17A1F-9EAB-4D12-817B-73219D8FDE16}" destId="{6D4FAAC2-10A2-4D9F-BBFD-AC277B4925AE}" srcOrd="0" destOrd="0" presId="urn:microsoft.com/office/officeart/2005/8/layout/bProcess3"/>
    <dgm:cxn modelId="{9EFE926D-F2FA-4CB5-ABA9-30FBB2C6F92D}" type="presParOf" srcId="{B22B5C09-9100-436B-9C6F-411082B4F8C2}" destId="{88DE9C6C-6D49-43CF-8385-A41F6FA671BB}" srcOrd="14" destOrd="0" presId="urn:microsoft.com/office/officeart/2005/8/layout/bProcess3"/>
    <dgm:cxn modelId="{83C1C505-DBFF-4B09-B099-F79C42E3AD34}" type="presParOf" srcId="{B22B5C09-9100-436B-9C6F-411082B4F8C2}" destId="{67754DB0-79EE-4FD0-AFF3-EC4D2F9BFDEA}" srcOrd="15" destOrd="0" presId="urn:microsoft.com/office/officeart/2005/8/layout/bProcess3"/>
    <dgm:cxn modelId="{3BC4EE15-1525-4558-B0BC-531818854431}" type="presParOf" srcId="{67754DB0-79EE-4FD0-AFF3-EC4D2F9BFDEA}" destId="{33CD3A3D-F9E5-4AF3-8B90-78D0C5EB3772}" srcOrd="0" destOrd="0" presId="urn:microsoft.com/office/officeart/2005/8/layout/bProcess3"/>
    <dgm:cxn modelId="{A5C051A6-EC5A-42B6-97BA-77CC1334D65E}" type="presParOf" srcId="{B22B5C09-9100-436B-9C6F-411082B4F8C2}" destId="{8742F127-F384-4D8B-96AE-61E306EE3B88}" srcOrd="16" destOrd="0" presId="urn:microsoft.com/office/officeart/2005/8/layout/bProcess3"/>
    <dgm:cxn modelId="{4271F15F-3A46-4892-A1EF-622C55861985}" type="presParOf" srcId="{B22B5C09-9100-436B-9C6F-411082B4F8C2}" destId="{3DC71C58-DDCE-4D62-A700-3BFE79F0DC82}" srcOrd="17" destOrd="0" presId="urn:microsoft.com/office/officeart/2005/8/layout/bProcess3"/>
    <dgm:cxn modelId="{D8ABC2E8-688C-4C6C-9A2E-D2C8BF4B1FEB}" type="presParOf" srcId="{3DC71C58-DDCE-4D62-A700-3BFE79F0DC82}" destId="{04D99072-AD68-4EA0-AD0A-65D7AC6C955A}" srcOrd="0" destOrd="0" presId="urn:microsoft.com/office/officeart/2005/8/layout/bProcess3"/>
    <dgm:cxn modelId="{1D1C93D0-FF32-440B-8825-E05403D14AE4}" type="presParOf" srcId="{B22B5C09-9100-436B-9C6F-411082B4F8C2}" destId="{AE06BB4B-262E-4478-9F4F-265D572ACAB8}" srcOrd="18" destOrd="0" presId="urn:microsoft.com/office/officeart/2005/8/layout/bProcess3"/>
    <dgm:cxn modelId="{EC15992E-20D7-449C-863E-306A30FF3EF0}" type="presParOf" srcId="{B22B5C09-9100-436B-9C6F-411082B4F8C2}" destId="{7DE1EED2-803A-4C9D-8EC1-5BB8738BFF1F}" srcOrd="19" destOrd="0" presId="urn:microsoft.com/office/officeart/2005/8/layout/bProcess3"/>
    <dgm:cxn modelId="{2461EC5C-051A-48EF-AD07-397C7FEADB8A}" type="presParOf" srcId="{7DE1EED2-803A-4C9D-8EC1-5BB8738BFF1F}" destId="{34341393-06D3-4DBE-97DE-AC2027E32903}" srcOrd="0" destOrd="0" presId="urn:microsoft.com/office/officeart/2005/8/layout/bProcess3"/>
    <dgm:cxn modelId="{AAA2E467-8ED4-47C1-BB60-7F725E4F9FCB}" type="presParOf" srcId="{B22B5C09-9100-436B-9C6F-411082B4F8C2}" destId="{53D6FCC5-1EBA-4B0B-9978-A1F34E5F0BC7}" srcOrd="20" destOrd="0" presId="urn:microsoft.com/office/officeart/2005/8/layout/bProcess3"/>
    <dgm:cxn modelId="{DF739D49-172D-47EC-95B4-D9EF22355F2A}" type="presParOf" srcId="{B22B5C09-9100-436B-9C6F-411082B4F8C2}" destId="{DEEA96C7-D5D2-4AF2-BE0E-0071DE094348}" srcOrd="21" destOrd="0" presId="urn:microsoft.com/office/officeart/2005/8/layout/bProcess3"/>
    <dgm:cxn modelId="{FC0A5EE8-B933-429D-95E6-150FF9C9603E}" type="presParOf" srcId="{DEEA96C7-D5D2-4AF2-BE0E-0071DE094348}" destId="{F2097FA1-A4F2-4E0B-9A17-81D681885218}" srcOrd="0" destOrd="0" presId="urn:microsoft.com/office/officeart/2005/8/layout/bProcess3"/>
    <dgm:cxn modelId="{58422214-6E64-431C-B539-50F3C400E088}" type="presParOf" srcId="{B22B5C09-9100-436B-9C6F-411082B4F8C2}" destId="{4FB74FB8-160D-4046-9DD4-573967C5FF29}" srcOrd="22" destOrd="0" presId="urn:microsoft.com/office/officeart/2005/8/layout/bProcess3"/>
    <dgm:cxn modelId="{9B60FEF3-6787-44C1-9543-2802EAB97004}" type="presParOf" srcId="{B22B5C09-9100-436B-9C6F-411082B4F8C2}" destId="{23F3F93D-FDEC-4BEE-A81F-DB4688EB39B6}" srcOrd="23" destOrd="0" presId="urn:microsoft.com/office/officeart/2005/8/layout/bProcess3"/>
    <dgm:cxn modelId="{A500FDB3-EC58-45F8-AF41-A3F3C78B8C1D}" type="presParOf" srcId="{23F3F93D-FDEC-4BEE-A81F-DB4688EB39B6}" destId="{B7FE9277-D169-4026-9929-323FE2B7E795}" srcOrd="0" destOrd="0" presId="urn:microsoft.com/office/officeart/2005/8/layout/bProcess3"/>
    <dgm:cxn modelId="{587A085E-3F2A-4DC8-ADED-C301D0D03C8F}" type="presParOf" srcId="{B22B5C09-9100-436B-9C6F-411082B4F8C2}" destId="{40A436CD-C5E3-40CA-A410-AE3DBABDFEA2}" srcOrd="24" destOrd="0" presId="urn:microsoft.com/office/officeart/2005/8/layout/bProcess3"/>
    <dgm:cxn modelId="{26761704-A1F8-45FD-8A03-4756E324ECBF}" type="presParOf" srcId="{B22B5C09-9100-436B-9C6F-411082B4F8C2}" destId="{8DA9B9A4-483E-44B7-86B1-231456F4D7F2}" srcOrd="25" destOrd="0" presId="urn:microsoft.com/office/officeart/2005/8/layout/bProcess3"/>
    <dgm:cxn modelId="{11E87EC8-5229-4C7C-BC69-531F102C74BD}" type="presParOf" srcId="{8DA9B9A4-483E-44B7-86B1-231456F4D7F2}" destId="{5B78C27A-1368-4FA2-986B-609F663012EB}" srcOrd="0" destOrd="0" presId="urn:microsoft.com/office/officeart/2005/8/layout/bProcess3"/>
    <dgm:cxn modelId="{998875F7-E635-476A-AAA3-E0655A0842C1}" type="presParOf" srcId="{B22B5C09-9100-436B-9C6F-411082B4F8C2}" destId="{6A022D4C-F62B-49DE-9442-9E9C89E8847D}" srcOrd="26" destOrd="0" presId="urn:microsoft.com/office/officeart/2005/8/layout/bProcess3"/>
    <dgm:cxn modelId="{00C0E103-D99A-4640-9DA6-AB060FE02C60}" type="presParOf" srcId="{B22B5C09-9100-436B-9C6F-411082B4F8C2}" destId="{97668DD9-ABFF-464F-9B7B-38A38274301B}" srcOrd="27" destOrd="0" presId="urn:microsoft.com/office/officeart/2005/8/layout/bProcess3"/>
    <dgm:cxn modelId="{FBA7A758-DF5C-4F10-AC18-03EDB6738670}" type="presParOf" srcId="{97668DD9-ABFF-464F-9B7B-38A38274301B}" destId="{9725371B-78C9-4CD1-A101-36A8DF61CD6E}" srcOrd="0" destOrd="0" presId="urn:microsoft.com/office/officeart/2005/8/layout/bProcess3"/>
    <dgm:cxn modelId="{E63BC936-915E-4DC0-864C-506CFCD95AA5}" type="presParOf" srcId="{B22B5C09-9100-436B-9C6F-411082B4F8C2}" destId="{3240B93A-13C0-4FF8-A976-28EC61E0D108}" srcOrd="28" destOrd="0" presId="urn:microsoft.com/office/officeart/2005/8/layout/bProcess3"/>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290941DE-A1DB-46F1-B03D-0105B16E5B2F}" type="doc">
      <dgm:prSet loTypeId="urn:microsoft.com/office/officeart/2005/8/layout/bProcess3" loCatId="process" qsTypeId="urn:microsoft.com/office/officeart/2005/8/quickstyle/simple5" qsCatId="simple" csTypeId="urn:microsoft.com/office/officeart/2005/8/colors/colorful1#7" csCatId="colorful" phldr="1"/>
      <dgm:spPr/>
      <dgm:t>
        <a:bodyPr/>
        <a:lstStyle/>
        <a:p>
          <a:endParaRPr lang="pl-PL"/>
        </a:p>
      </dgm:t>
    </dgm:pt>
    <dgm:pt modelId="{5C412DE9-7057-441A-8C91-C41600E9B5F3}">
      <dgm:prSet phldrT="[Tekst]" custT="1"/>
      <dgm:spPr/>
      <dgm:t>
        <a:bodyPr/>
        <a:lstStyle/>
        <a:p>
          <a:pPr algn="ctr"/>
          <a:r>
            <a:rPr lang="pl-PL" sz="1050" b="1"/>
            <a:t>Przyjęcie partii odpadów niebezpiecznych zawierających azbest na składowisko.</a:t>
          </a:r>
          <a:endParaRPr lang="pl-PL" sz="1050"/>
        </a:p>
      </dgm:t>
    </dgm:pt>
    <dgm:pt modelId="{AE4E9A24-47BD-4690-AF30-14A690F1AA44}" type="parTrans" cxnId="{6F3BD7E1-087F-4CCA-8326-BB6937E70FD0}">
      <dgm:prSet/>
      <dgm:spPr/>
      <dgm:t>
        <a:bodyPr/>
        <a:lstStyle/>
        <a:p>
          <a:pPr algn="ctr"/>
          <a:endParaRPr lang="pl-PL" sz="1050"/>
        </a:p>
      </dgm:t>
    </dgm:pt>
    <dgm:pt modelId="{81D96DCF-4228-41CA-82CC-25F433DE5C16}" type="sibTrans" cxnId="{6F3BD7E1-087F-4CCA-8326-BB6937E70FD0}">
      <dgm:prSet custT="1"/>
      <dgm:spPr/>
      <dgm:t>
        <a:bodyPr/>
        <a:lstStyle/>
        <a:p>
          <a:pPr algn="ctr"/>
          <a:endParaRPr lang="pl-PL" sz="1050"/>
        </a:p>
      </dgm:t>
    </dgm:pt>
    <dgm:pt modelId="{071E8585-3E73-4F0D-BF39-0D93A1C8C681}">
      <dgm:prSet custT="1"/>
      <dgm:spPr/>
      <dgm:t>
        <a:bodyPr/>
        <a:lstStyle/>
        <a:p>
          <a:pPr algn="ctr"/>
          <a:r>
            <a:rPr lang="pl-PL" sz="1050" b="1"/>
            <a:t>Pobieranie opłaty za korzystanie ze środowiska- odprowadzenie opłaty na rachunek właściwego urzędu marszałkowskiego.</a:t>
          </a:r>
          <a:endParaRPr lang="pl-PL" sz="1050"/>
        </a:p>
      </dgm:t>
    </dgm:pt>
    <dgm:pt modelId="{7AC14C30-0099-47E1-86F8-ED2E90365331}" type="parTrans" cxnId="{7C1CFE76-EF27-4A85-B534-16FD73608D80}">
      <dgm:prSet/>
      <dgm:spPr/>
      <dgm:t>
        <a:bodyPr/>
        <a:lstStyle/>
        <a:p>
          <a:pPr algn="ctr"/>
          <a:endParaRPr lang="pl-PL" sz="1050"/>
        </a:p>
      </dgm:t>
    </dgm:pt>
    <dgm:pt modelId="{EA65DC71-A253-4079-98C2-1DB653F09656}" type="sibTrans" cxnId="{7C1CFE76-EF27-4A85-B534-16FD73608D80}">
      <dgm:prSet custT="1"/>
      <dgm:spPr/>
      <dgm:t>
        <a:bodyPr/>
        <a:lstStyle/>
        <a:p>
          <a:pPr algn="ctr"/>
          <a:endParaRPr lang="pl-PL" sz="1050"/>
        </a:p>
      </dgm:t>
    </dgm:pt>
    <dgm:pt modelId="{730312BD-7AA1-44B1-9D76-3184C5170F58}">
      <dgm:prSet custT="1"/>
      <dgm:spPr/>
      <dgm:t>
        <a:bodyPr/>
        <a:lstStyle/>
        <a:p>
          <a:pPr algn="ctr"/>
          <a:r>
            <a:rPr lang="pl-PL" sz="1050" b="1"/>
            <a:t>Potwierdzenie odbioru na „Karcie przekazania odpadu”.</a:t>
          </a:r>
          <a:endParaRPr lang="pl-PL" sz="1050" b="0"/>
        </a:p>
      </dgm:t>
    </dgm:pt>
    <dgm:pt modelId="{5E4ED77C-2A43-4942-B176-8220DC4636DB}" type="parTrans" cxnId="{59CA9DA0-BC5F-4918-BA3C-B687A29D7964}">
      <dgm:prSet/>
      <dgm:spPr/>
      <dgm:t>
        <a:bodyPr/>
        <a:lstStyle/>
        <a:p>
          <a:pPr algn="ctr"/>
          <a:endParaRPr lang="pl-PL" sz="1050"/>
        </a:p>
      </dgm:t>
    </dgm:pt>
    <dgm:pt modelId="{EF2340CE-7274-4A41-B3D9-9A9BE5A4D87A}" type="sibTrans" cxnId="{59CA9DA0-BC5F-4918-BA3C-B687A29D7964}">
      <dgm:prSet custT="1"/>
      <dgm:spPr/>
      <dgm:t>
        <a:bodyPr/>
        <a:lstStyle/>
        <a:p>
          <a:pPr algn="ctr"/>
          <a:endParaRPr lang="pl-PL" sz="1050"/>
        </a:p>
      </dgm:t>
    </dgm:pt>
    <dgm:pt modelId="{D1A96D63-6435-406B-AAA1-DD834F9590D2}">
      <dgm:prSet custT="1"/>
      <dgm:spPr/>
      <dgm:t>
        <a:bodyPr/>
        <a:lstStyle/>
        <a:p>
          <a:pPr algn="ctr"/>
          <a:r>
            <a:rPr lang="pl-PL" sz="1050" b="1"/>
            <a:t>Składowanie odpadów zgodnie z przepisami dotyczącymi odpadów niebezpiecznych zawierających azbest oraz zatwierdzoną instrukcją eksploatacji </a:t>
          </a:r>
          <a:endParaRPr lang="pl-PL" sz="1050" b="0">
            <a:latin typeface="+mn-lt"/>
          </a:endParaRPr>
        </a:p>
      </dgm:t>
    </dgm:pt>
    <dgm:pt modelId="{228405FB-4401-4C81-B57D-8600070D4630}" type="parTrans" cxnId="{1186C356-AA4C-401E-8550-30DE1CA3654F}">
      <dgm:prSet/>
      <dgm:spPr/>
      <dgm:t>
        <a:bodyPr/>
        <a:lstStyle/>
        <a:p>
          <a:pPr algn="ctr"/>
          <a:endParaRPr lang="pl-PL" sz="1050"/>
        </a:p>
      </dgm:t>
    </dgm:pt>
    <dgm:pt modelId="{5744942C-8D0E-483E-9230-67C39FF5413A}" type="sibTrans" cxnId="{1186C356-AA4C-401E-8550-30DE1CA3654F}">
      <dgm:prSet custT="1"/>
      <dgm:spPr/>
      <dgm:t>
        <a:bodyPr/>
        <a:lstStyle/>
        <a:p>
          <a:pPr algn="ctr"/>
          <a:endParaRPr lang="pl-PL" sz="1050"/>
        </a:p>
      </dgm:t>
    </dgm:pt>
    <dgm:pt modelId="{7E6E47BA-A62E-418C-8AC6-12FE035181BE}">
      <dgm:prSet custT="1"/>
      <dgm:spPr/>
      <dgm:t>
        <a:bodyPr/>
        <a:lstStyle/>
        <a:p>
          <a:pPr algn="ctr"/>
          <a:r>
            <a:rPr lang="pl-PL" sz="1050" b="1"/>
            <a:t>Przeszkolenie pracowników                       w zakresie bezpiecznych metod postępowania z odpadami zawierającymi azbest.</a:t>
          </a:r>
          <a:endParaRPr lang="pl-PL" sz="1050" b="0"/>
        </a:p>
      </dgm:t>
    </dgm:pt>
    <dgm:pt modelId="{46FEFA24-FD12-47AB-BC2C-920EBB449EAC}" type="parTrans" cxnId="{5DDF37AA-0A66-48AA-A6CC-B090634FB4BB}">
      <dgm:prSet/>
      <dgm:spPr/>
      <dgm:t>
        <a:bodyPr/>
        <a:lstStyle/>
        <a:p>
          <a:pPr algn="ctr"/>
          <a:endParaRPr lang="pl-PL" sz="1050"/>
        </a:p>
      </dgm:t>
    </dgm:pt>
    <dgm:pt modelId="{81A7DC3A-C1DA-4989-938C-F093CCDEC852}" type="sibTrans" cxnId="{5DDF37AA-0A66-48AA-A6CC-B090634FB4BB}">
      <dgm:prSet custT="1"/>
      <dgm:spPr/>
      <dgm:t>
        <a:bodyPr/>
        <a:lstStyle/>
        <a:p>
          <a:pPr algn="ctr"/>
          <a:endParaRPr lang="pl-PL" sz="1050"/>
        </a:p>
      </dgm:t>
    </dgm:pt>
    <dgm:pt modelId="{EED90470-F772-43C0-9A67-2F61F0A5158E}">
      <dgm:prSet custT="1"/>
      <dgm:spPr/>
      <dgm:t>
        <a:bodyPr/>
        <a:lstStyle/>
        <a:p>
          <a:pPr algn="ctr"/>
          <a:r>
            <a:rPr lang="pl-PL" sz="1050" b="1"/>
            <a:t>Sporządzenie zbiorczego zestawienia danych o rodzaju i ilości odpadów.</a:t>
          </a:r>
          <a:endParaRPr lang="pl-PL" sz="1050" b="0"/>
        </a:p>
      </dgm:t>
    </dgm:pt>
    <dgm:pt modelId="{046DCB86-025F-4F68-B1C4-92CBB6FC8ED3}" type="parTrans" cxnId="{36055605-E78C-454E-BF05-2BDCB5CD6F48}">
      <dgm:prSet/>
      <dgm:spPr/>
      <dgm:t>
        <a:bodyPr/>
        <a:lstStyle/>
        <a:p>
          <a:pPr algn="ctr"/>
          <a:endParaRPr lang="pl-PL" sz="1050"/>
        </a:p>
      </dgm:t>
    </dgm:pt>
    <dgm:pt modelId="{9FD9EE72-7747-4AED-BF36-3A74F61B4F24}" type="sibTrans" cxnId="{36055605-E78C-454E-BF05-2BDCB5CD6F48}">
      <dgm:prSet custT="1"/>
      <dgm:spPr/>
      <dgm:t>
        <a:bodyPr/>
        <a:lstStyle/>
        <a:p>
          <a:pPr algn="ctr"/>
          <a:endParaRPr lang="pl-PL" sz="1050"/>
        </a:p>
      </dgm:t>
    </dgm:pt>
    <dgm:pt modelId="{B22B5C09-9100-436B-9C6F-411082B4F8C2}" type="pres">
      <dgm:prSet presAssocID="{290941DE-A1DB-46F1-B03D-0105B16E5B2F}" presName="Name0" presStyleCnt="0">
        <dgm:presLayoutVars>
          <dgm:dir/>
          <dgm:resizeHandles val="exact"/>
        </dgm:presLayoutVars>
      </dgm:prSet>
      <dgm:spPr/>
    </dgm:pt>
    <dgm:pt modelId="{EBA11BF1-986E-4536-98A8-364577EA7B9B}" type="pres">
      <dgm:prSet presAssocID="{5C412DE9-7057-441A-8C91-C41600E9B5F3}" presName="node" presStyleLbl="node1" presStyleIdx="0" presStyleCnt="6">
        <dgm:presLayoutVars>
          <dgm:bulletEnabled val="1"/>
        </dgm:presLayoutVars>
      </dgm:prSet>
      <dgm:spPr/>
    </dgm:pt>
    <dgm:pt modelId="{1181FD1E-08FA-488E-9FCC-9319D142F28E}" type="pres">
      <dgm:prSet presAssocID="{81D96DCF-4228-41CA-82CC-25F433DE5C16}" presName="sibTrans" presStyleLbl="sibTrans1D1" presStyleIdx="0" presStyleCnt="5"/>
      <dgm:spPr/>
    </dgm:pt>
    <dgm:pt modelId="{E81B558C-CBBF-4E50-A46D-4F8BD0C4988A}" type="pres">
      <dgm:prSet presAssocID="{81D96DCF-4228-41CA-82CC-25F433DE5C16}" presName="connectorText" presStyleLbl="sibTrans1D1" presStyleIdx="0" presStyleCnt="5"/>
      <dgm:spPr/>
    </dgm:pt>
    <dgm:pt modelId="{B3E79C7E-4A29-4263-B041-931FD0C9D871}" type="pres">
      <dgm:prSet presAssocID="{071E8585-3E73-4F0D-BF39-0D93A1C8C681}" presName="node" presStyleLbl="node1" presStyleIdx="1" presStyleCnt="6">
        <dgm:presLayoutVars>
          <dgm:bulletEnabled val="1"/>
        </dgm:presLayoutVars>
      </dgm:prSet>
      <dgm:spPr/>
    </dgm:pt>
    <dgm:pt modelId="{27F3B7D1-5BB8-40A1-A160-A2A330879F9D}" type="pres">
      <dgm:prSet presAssocID="{EA65DC71-A253-4079-98C2-1DB653F09656}" presName="sibTrans" presStyleLbl="sibTrans1D1" presStyleIdx="1" presStyleCnt="5"/>
      <dgm:spPr/>
    </dgm:pt>
    <dgm:pt modelId="{359AC4B4-2C48-4725-8693-760DB93EBC41}" type="pres">
      <dgm:prSet presAssocID="{EA65DC71-A253-4079-98C2-1DB653F09656}" presName="connectorText" presStyleLbl="sibTrans1D1" presStyleIdx="1" presStyleCnt="5"/>
      <dgm:spPr/>
    </dgm:pt>
    <dgm:pt modelId="{A7D1E759-8F10-4114-A25F-09B2988F608B}" type="pres">
      <dgm:prSet presAssocID="{730312BD-7AA1-44B1-9D76-3184C5170F58}" presName="node" presStyleLbl="node1" presStyleIdx="2" presStyleCnt="6">
        <dgm:presLayoutVars>
          <dgm:bulletEnabled val="1"/>
        </dgm:presLayoutVars>
      </dgm:prSet>
      <dgm:spPr/>
    </dgm:pt>
    <dgm:pt modelId="{3919D872-B3A3-4EC0-86A5-1AAF43547F09}" type="pres">
      <dgm:prSet presAssocID="{EF2340CE-7274-4A41-B3D9-9A9BE5A4D87A}" presName="sibTrans" presStyleLbl="sibTrans1D1" presStyleIdx="2" presStyleCnt="5"/>
      <dgm:spPr/>
    </dgm:pt>
    <dgm:pt modelId="{7755FD52-8BF6-42D9-8470-CFA28198F399}" type="pres">
      <dgm:prSet presAssocID="{EF2340CE-7274-4A41-B3D9-9A9BE5A4D87A}" presName="connectorText" presStyleLbl="sibTrans1D1" presStyleIdx="2" presStyleCnt="5"/>
      <dgm:spPr/>
    </dgm:pt>
    <dgm:pt modelId="{4610F32A-E761-47E9-9B10-D57160F33225}" type="pres">
      <dgm:prSet presAssocID="{D1A96D63-6435-406B-AAA1-DD834F9590D2}" presName="node" presStyleLbl="node1" presStyleIdx="3" presStyleCnt="6" custLinFactNeighborX="-3856" custLinFactNeighborY="51">
        <dgm:presLayoutVars>
          <dgm:bulletEnabled val="1"/>
        </dgm:presLayoutVars>
      </dgm:prSet>
      <dgm:spPr/>
    </dgm:pt>
    <dgm:pt modelId="{FDB34492-2D1A-4520-8349-3FD5D6145923}" type="pres">
      <dgm:prSet presAssocID="{5744942C-8D0E-483E-9230-67C39FF5413A}" presName="sibTrans" presStyleLbl="sibTrans1D1" presStyleIdx="3" presStyleCnt="5"/>
      <dgm:spPr/>
    </dgm:pt>
    <dgm:pt modelId="{98D6B273-95BE-4D94-98E7-BE92CBA0AEA7}" type="pres">
      <dgm:prSet presAssocID="{5744942C-8D0E-483E-9230-67C39FF5413A}" presName="connectorText" presStyleLbl="sibTrans1D1" presStyleIdx="3" presStyleCnt="5"/>
      <dgm:spPr/>
    </dgm:pt>
    <dgm:pt modelId="{6BAA4831-CB5F-41DD-8D1A-10986123DE23}" type="pres">
      <dgm:prSet presAssocID="{7E6E47BA-A62E-418C-8AC6-12FE035181BE}" presName="node" presStyleLbl="node1" presStyleIdx="4" presStyleCnt="6">
        <dgm:presLayoutVars>
          <dgm:bulletEnabled val="1"/>
        </dgm:presLayoutVars>
      </dgm:prSet>
      <dgm:spPr/>
    </dgm:pt>
    <dgm:pt modelId="{6F9440A1-7030-493F-A639-FE0615E77D15}" type="pres">
      <dgm:prSet presAssocID="{81A7DC3A-C1DA-4989-938C-F093CCDEC852}" presName="sibTrans" presStyleLbl="sibTrans1D1" presStyleIdx="4" presStyleCnt="5"/>
      <dgm:spPr/>
    </dgm:pt>
    <dgm:pt modelId="{7D09C119-E708-4137-AF05-2068D328EB18}" type="pres">
      <dgm:prSet presAssocID="{81A7DC3A-C1DA-4989-938C-F093CCDEC852}" presName="connectorText" presStyleLbl="sibTrans1D1" presStyleIdx="4" presStyleCnt="5"/>
      <dgm:spPr/>
    </dgm:pt>
    <dgm:pt modelId="{E81F043A-D6B4-4185-8C33-AF5DDDB9B3FF}" type="pres">
      <dgm:prSet presAssocID="{EED90470-F772-43C0-9A67-2F61F0A5158E}" presName="node" presStyleLbl="node1" presStyleIdx="5" presStyleCnt="6">
        <dgm:presLayoutVars>
          <dgm:bulletEnabled val="1"/>
        </dgm:presLayoutVars>
      </dgm:prSet>
      <dgm:spPr/>
    </dgm:pt>
  </dgm:ptLst>
  <dgm:cxnLst>
    <dgm:cxn modelId="{36055605-E78C-454E-BF05-2BDCB5CD6F48}" srcId="{290941DE-A1DB-46F1-B03D-0105B16E5B2F}" destId="{EED90470-F772-43C0-9A67-2F61F0A5158E}" srcOrd="5" destOrd="0" parTransId="{046DCB86-025F-4F68-B1C4-92CBB6FC8ED3}" sibTransId="{9FD9EE72-7747-4AED-BF36-3A74F61B4F24}"/>
    <dgm:cxn modelId="{37EB9E06-50C3-4D3E-B39C-06FBB7EA3D68}" type="presOf" srcId="{730312BD-7AA1-44B1-9D76-3184C5170F58}" destId="{A7D1E759-8F10-4114-A25F-09B2988F608B}" srcOrd="0" destOrd="0" presId="urn:microsoft.com/office/officeart/2005/8/layout/bProcess3"/>
    <dgm:cxn modelId="{C5309A08-C51D-4CD8-A869-C3B7019BCCFA}" type="presOf" srcId="{EF2340CE-7274-4A41-B3D9-9A9BE5A4D87A}" destId="{3919D872-B3A3-4EC0-86A5-1AAF43547F09}" srcOrd="0" destOrd="0" presId="urn:microsoft.com/office/officeart/2005/8/layout/bProcess3"/>
    <dgm:cxn modelId="{CB85383B-2CAD-409D-A958-2C970EBD0E60}" type="presOf" srcId="{81D96DCF-4228-41CA-82CC-25F433DE5C16}" destId="{E81B558C-CBBF-4E50-A46D-4F8BD0C4988A}" srcOrd="1" destOrd="0" presId="urn:microsoft.com/office/officeart/2005/8/layout/bProcess3"/>
    <dgm:cxn modelId="{54F38C3F-BFFC-484B-8685-95C1E4A06912}" type="presOf" srcId="{EF2340CE-7274-4A41-B3D9-9A9BE5A4D87A}" destId="{7755FD52-8BF6-42D9-8470-CFA28198F399}" srcOrd="1" destOrd="0" presId="urn:microsoft.com/office/officeart/2005/8/layout/bProcess3"/>
    <dgm:cxn modelId="{D2C48A42-D360-4655-A56B-362111EEDBBE}" type="presOf" srcId="{EA65DC71-A253-4079-98C2-1DB653F09656}" destId="{27F3B7D1-5BB8-40A1-A160-A2A330879F9D}" srcOrd="0" destOrd="0" presId="urn:microsoft.com/office/officeart/2005/8/layout/bProcess3"/>
    <dgm:cxn modelId="{0F54F249-65BD-498E-BE40-6B457F2637C3}" type="presOf" srcId="{5C412DE9-7057-441A-8C91-C41600E9B5F3}" destId="{EBA11BF1-986E-4536-98A8-364577EA7B9B}" srcOrd="0" destOrd="0" presId="urn:microsoft.com/office/officeart/2005/8/layout/bProcess3"/>
    <dgm:cxn modelId="{C3591F51-2ED6-4908-A747-13F13F10AADF}" type="presOf" srcId="{EED90470-F772-43C0-9A67-2F61F0A5158E}" destId="{E81F043A-D6B4-4185-8C33-AF5DDDB9B3FF}" srcOrd="0" destOrd="0" presId="urn:microsoft.com/office/officeart/2005/8/layout/bProcess3"/>
    <dgm:cxn modelId="{1186C356-AA4C-401E-8550-30DE1CA3654F}" srcId="{290941DE-A1DB-46F1-B03D-0105B16E5B2F}" destId="{D1A96D63-6435-406B-AAA1-DD834F9590D2}" srcOrd="3" destOrd="0" parTransId="{228405FB-4401-4C81-B57D-8600070D4630}" sibTransId="{5744942C-8D0E-483E-9230-67C39FF5413A}"/>
    <dgm:cxn modelId="{7C1CFE76-EF27-4A85-B534-16FD73608D80}" srcId="{290941DE-A1DB-46F1-B03D-0105B16E5B2F}" destId="{071E8585-3E73-4F0D-BF39-0D93A1C8C681}" srcOrd="1" destOrd="0" parTransId="{7AC14C30-0099-47E1-86F8-ED2E90365331}" sibTransId="{EA65DC71-A253-4079-98C2-1DB653F09656}"/>
    <dgm:cxn modelId="{7B116480-ED4B-4662-9D6E-D3210386A434}" type="presOf" srcId="{D1A96D63-6435-406B-AAA1-DD834F9590D2}" destId="{4610F32A-E761-47E9-9B10-D57160F33225}" srcOrd="0" destOrd="0" presId="urn:microsoft.com/office/officeart/2005/8/layout/bProcess3"/>
    <dgm:cxn modelId="{7C09AA99-CF89-4849-AD65-208FABCD69DD}" type="presOf" srcId="{81A7DC3A-C1DA-4989-938C-F093CCDEC852}" destId="{7D09C119-E708-4137-AF05-2068D328EB18}" srcOrd="1" destOrd="0" presId="urn:microsoft.com/office/officeart/2005/8/layout/bProcess3"/>
    <dgm:cxn modelId="{59CA9DA0-BC5F-4918-BA3C-B687A29D7964}" srcId="{290941DE-A1DB-46F1-B03D-0105B16E5B2F}" destId="{730312BD-7AA1-44B1-9D76-3184C5170F58}" srcOrd="2" destOrd="0" parTransId="{5E4ED77C-2A43-4942-B176-8220DC4636DB}" sibTransId="{EF2340CE-7274-4A41-B3D9-9A9BE5A4D87A}"/>
    <dgm:cxn modelId="{5DDF37AA-0A66-48AA-A6CC-B090634FB4BB}" srcId="{290941DE-A1DB-46F1-B03D-0105B16E5B2F}" destId="{7E6E47BA-A62E-418C-8AC6-12FE035181BE}" srcOrd="4" destOrd="0" parTransId="{46FEFA24-FD12-47AB-BC2C-920EBB449EAC}" sibTransId="{81A7DC3A-C1DA-4989-938C-F093CCDEC852}"/>
    <dgm:cxn modelId="{A8C568B2-BC00-49A6-A924-2173367EAE79}" type="presOf" srcId="{7E6E47BA-A62E-418C-8AC6-12FE035181BE}" destId="{6BAA4831-CB5F-41DD-8D1A-10986123DE23}" srcOrd="0" destOrd="0" presId="urn:microsoft.com/office/officeart/2005/8/layout/bProcess3"/>
    <dgm:cxn modelId="{87E646B7-3293-4B72-9DD5-F341B1FB6AD4}" type="presOf" srcId="{5744942C-8D0E-483E-9230-67C39FF5413A}" destId="{FDB34492-2D1A-4520-8349-3FD5D6145923}" srcOrd="0" destOrd="0" presId="urn:microsoft.com/office/officeart/2005/8/layout/bProcess3"/>
    <dgm:cxn modelId="{FD5638C5-455F-4D6C-862D-A08C4CCF0F36}" type="presOf" srcId="{5744942C-8D0E-483E-9230-67C39FF5413A}" destId="{98D6B273-95BE-4D94-98E7-BE92CBA0AEA7}" srcOrd="1" destOrd="0" presId="urn:microsoft.com/office/officeart/2005/8/layout/bProcess3"/>
    <dgm:cxn modelId="{03CED3CD-13B2-4FDB-8BE3-857D9211FB4D}" type="presOf" srcId="{EA65DC71-A253-4079-98C2-1DB653F09656}" destId="{359AC4B4-2C48-4725-8693-760DB93EBC41}" srcOrd="1" destOrd="0" presId="urn:microsoft.com/office/officeart/2005/8/layout/bProcess3"/>
    <dgm:cxn modelId="{B883A7D6-5A3E-47C0-BCC5-F9BE6EB739DD}" type="presOf" srcId="{81D96DCF-4228-41CA-82CC-25F433DE5C16}" destId="{1181FD1E-08FA-488E-9FCC-9319D142F28E}" srcOrd="0" destOrd="0" presId="urn:microsoft.com/office/officeart/2005/8/layout/bProcess3"/>
    <dgm:cxn modelId="{6F3BD7E1-087F-4CCA-8326-BB6937E70FD0}" srcId="{290941DE-A1DB-46F1-B03D-0105B16E5B2F}" destId="{5C412DE9-7057-441A-8C91-C41600E9B5F3}" srcOrd="0" destOrd="0" parTransId="{AE4E9A24-47BD-4690-AF30-14A690F1AA44}" sibTransId="{81D96DCF-4228-41CA-82CC-25F433DE5C16}"/>
    <dgm:cxn modelId="{C7B362E5-89CC-4F8E-A00B-BE135C9FFD87}" type="presOf" srcId="{071E8585-3E73-4F0D-BF39-0D93A1C8C681}" destId="{B3E79C7E-4A29-4263-B041-931FD0C9D871}" srcOrd="0" destOrd="0" presId="urn:microsoft.com/office/officeart/2005/8/layout/bProcess3"/>
    <dgm:cxn modelId="{1FD581EF-D3CB-4661-9378-1CD093E27D93}" type="presOf" srcId="{81A7DC3A-C1DA-4989-938C-F093CCDEC852}" destId="{6F9440A1-7030-493F-A639-FE0615E77D15}" srcOrd="0" destOrd="0" presId="urn:microsoft.com/office/officeart/2005/8/layout/bProcess3"/>
    <dgm:cxn modelId="{9318CBF6-8806-4A5A-9904-2666B1F9AE6C}" type="presOf" srcId="{290941DE-A1DB-46F1-B03D-0105B16E5B2F}" destId="{B22B5C09-9100-436B-9C6F-411082B4F8C2}" srcOrd="0" destOrd="0" presId="urn:microsoft.com/office/officeart/2005/8/layout/bProcess3"/>
    <dgm:cxn modelId="{F395B9D2-907C-4202-A2D8-19A429058723}" type="presParOf" srcId="{B22B5C09-9100-436B-9C6F-411082B4F8C2}" destId="{EBA11BF1-986E-4536-98A8-364577EA7B9B}" srcOrd="0" destOrd="0" presId="urn:microsoft.com/office/officeart/2005/8/layout/bProcess3"/>
    <dgm:cxn modelId="{8451D22C-1584-4FCB-9370-15ADC8BD792C}" type="presParOf" srcId="{B22B5C09-9100-436B-9C6F-411082B4F8C2}" destId="{1181FD1E-08FA-488E-9FCC-9319D142F28E}" srcOrd="1" destOrd="0" presId="urn:microsoft.com/office/officeart/2005/8/layout/bProcess3"/>
    <dgm:cxn modelId="{B479BC23-BB7A-4416-83A5-81EB80E3EEEE}" type="presParOf" srcId="{1181FD1E-08FA-488E-9FCC-9319D142F28E}" destId="{E81B558C-CBBF-4E50-A46D-4F8BD0C4988A}" srcOrd="0" destOrd="0" presId="urn:microsoft.com/office/officeart/2005/8/layout/bProcess3"/>
    <dgm:cxn modelId="{511E249A-FDC8-4BFD-BC5D-D60ABE2EFFF3}" type="presParOf" srcId="{B22B5C09-9100-436B-9C6F-411082B4F8C2}" destId="{B3E79C7E-4A29-4263-B041-931FD0C9D871}" srcOrd="2" destOrd="0" presId="urn:microsoft.com/office/officeart/2005/8/layout/bProcess3"/>
    <dgm:cxn modelId="{8C52E9B3-7B4C-477F-840A-8A81452626DB}" type="presParOf" srcId="{B22B5C09-9100-436B-9C6F-411082B4F8C2}" destId="{27F3B7D1-5BB8-40A1-A160-A2A330879F9D}" srcOrd="3" destOrd="0" presId="urn:microsoft.com/office/officeart/2005/8/layout/bProcess3"/>
    <dgm:cxn modelId="{5AC319EA-97AA-4762-B6B5-CA92558F32DB}" type="presParOf" srcId="{27F3B7D1-5BB8-40A1-A160-A2A330879F9D}" destId="{359AC4B4-2C48-4725-8693-760DB93EBC41}" srcOrd="0" destOrd="0" presId="urn:microsoft.com/office/officeart/2005/8/layout/bProcess3"/>
    <dgm:cxn modelId="{CBC730BE-7760-425E-B2CC-9F49AA6D088F}" type="presParOf" srcId="{B22B5C09-9100-436B-9C6F-411082B4F8C2}" destId="{A7D1E759-8F10-4114-A25F-09B2988F608B}" srcOrd="4" destOrd="0" presId="urn:microsoft.com/office/officeart/2005/8/layout/bProcess3"/>
    <dgm:cxn modelId="{548BA5C3-8E10-4AC5-BCD9-38AB6A84626B}" type="presParOf" srcId="{B22B5C09-9100-436B-9C6F-411082B4F8C2}" destId="{3919D872-B3A3-4EC0-86A5-1AAF43547F09}" srcOrd="5" destOrd="0" presId="urn:microsoft.com/office/officeart/2005/8/layout/bProcess3"/>
    <dgm:cxn modelId="{A36C3786-9ACF-456E-9A6C-40A31F5A16C2}" type="presParOf" srcId="{3919D872-B3A3-4EC0-86A5-1AAF43547F09}" destId="{7755FD52-8BF6-42D9-8470-CFA28198F399}" srcOrd="0" destOrd="0" presId="urn:microsoft.com/office/officeart/2005/8/layout/bProcess3"/>
    <dgm:cxn modelId="{B09767A2-B85F-444C-A409-38A429F530C6}" type="presParOf" srcId="{B22B5C09-9100-436B-9C6F-411082B4F8C2}" destId="{4610F32A-E761-47E9-9B10-D57160F33225}" srcOrd="6" destOrd="0" presId="urn:microsoft.com/office/officeart/2005/8/layout/bProcess3"/>
    <dgm:cxn modelId="{05FA6302-90E6-4922-AF41-5555CC87AD58}" type="presParOf" srcId="{B22B5C09-9100-436B-9C6F-411082B4F8C2}" destId="{FDB34492-2D1A-4520-8349-3FD5D6145923}" srcOrd="7" destOrd="0" presId="urn:microsoft.com/office/officeart/2005/8/layout/bProcess3"/>
    <dgm:cxn modelId="{5B73F9B3-326C-4D8D-A5EC-CCFEABB5F9EC}" type="presParOf" srcId="{FDB34492-2D1A-4520-8349-3FD5D6145923}" destId="{98D6B273-95BE-4D94-98E7-BE92CBA0AEA7}" srcOrd="0" destOrd="0" presId="urn:microsoft.com/office/officeart/2005/8/layout/bProcess3"/>
    <dgm:cxn modelId="{182FE995-4FDA-42D4-895E-928961733603}" type="presParOf" srcId="{B22B5C09-9100-436B-9C6F-411082B4F8C2}" destId="{6BAA4831-CB5F-41DD-8D1A-10986123DE23}" srcOrd="8" destOrd="0" presId="urn:microsoft.com/office/officeart/2005/8/layout/bProcess3"/>
    <dgm:cxn modelId="{7BDB53A0-D421-4627-8989-198D9720505F}" type="presParOf" srcId="{B22B5C09-9100-436B-9C6F-411082B4F8C2}" destId="{6F9440A1-7030-493F-A639-FE0615E77D15}" srcOrd="9" destOrd="0" presId="urn:microsoft.com/office/officeart/2005/8/layout/bProcess3"/>
    <dgm:cxn modelId="{D6D2252D-78D8-45CA-96FA-56BA02E4C67E}" type="presParOf" srcId="{6F9440A1-7030-493F-A639-FE0615E77D15}" destId="{7D09C119-E708-4137-AF05-2068D328EB18}" srcOrd="0" destOrd="0" presId="urn:microsoft.com/office/officeart/2005/8/layout/bProcess3"/>
    <dgm:cxn modelId="{7D6D1A62-754A-4711-AA58-68E2BB251372}" type="presParOf" srcId="{B22B5C09-9100-436B-9C6F-411082B4F8C2}" destId="{E81F043A-D6B4-4185-8C33-AF5DDDB9B3FF}" srcOrd="10" destOrd="0" presId="urn:microsoft.com/office/officeart/2005/8/layout/bProcess3"/>
  </dgm:cxnLst>
  <dgm:bg/>
  <dgm:whole/>
  <dgm:extLst>
    <a:ext uri="http://schemas.microsoft.com/office/drawing/2008/diagram">
      <dsp:dataModelExt xmlns:dsp="http://schemas.microsoft.com/office/drawing/2008/diagram" relId="rId48"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D90D7B2A-F005-49F9-BAAB-91A0698EB80C}" type="doc">
      <dgm:prSet loTypeId="urn:microsoft.com/office/officeart/2005/8/layout/list1" loCatId="list" qsTypeId="urn:microsoft.com/office/officeart/2005/8/quickstyle/3d1" qsCatId="3D" csTypeId="urn:microsoft.com/office/officeart/2005/8/colors/colorful1#1" csCatId="colorful" phldr="1"/>
      <dgm:spPr/>
      <dgm:t>
        <a:bodyPr/>
        <a:lstStyle/>
        <a:p>
          <a:endParaRPr lang="pl-PL"/>
        </a:p>
      </dgm:t>
    </dgm:pt>
    <dgm:pt modelId="{A0FCBCC7-5573-4CC5-8F8A-30C9E3E88025}">
      <dgm:prSet phldrT="[Tekst]" custT="1"/>
      <dgm:spPr/>
      <dgm:t>
        <a:bodyPr/>
        <a:lstStyle/>
        <a:p>
          <a:pPr algn="l"/>
          <a:r>
            <a:rPr lang="pl-PL" sz="1200" b="1">
              <a:latin typeface="Arial" pitchFamily="34" charset="0"/>
              <a:cs typeface="Arial" pitchFamily="34" charset="0"/>
            </a:rPr>
            <a:t>Rozdział 1.</a:t>
          </a:r>
        </a:p>
      </dgm:t>
    </dgm:pt>
    <dgm:pt modelId="{5F9E7B35-BB87-4728-B3C8-9623071F748D}" type="parTrans" cxnId="{7A2A6FE8-B0AE-4785-BDA5-E25EA6B54C8D}">
      <dgm:prSet/>
      <dgm:spPr/>
      <dgm:t>
        <a:bodyPr/>
        <a:lstStyle/>
        <a:p>
          <a:pPr algn="l"/>
          <a:endParaRPr lang="pl-PL"/>
        </a:p>
      </dgm:t>
    </dgm:pt>
    <dgm:pt modelId="{32D0FB5C-D07A-49A3-B12E-BDA8310334EA}" type="sibTrans" cxnId="{7A2A6FE8-B0AE-4785-BDA5-E25EA6B54C8D}">
      <dgm:prSet/>
      <dgm:spPr/>
      <dgm:t>
        <a:bodyPr/>
        <a:lstStyle/>
        <a:p>
          <a:pPr algn="l"/>
          <a:endParaRPr lang="pl-PL"/>
        </a:p>
      </dgm:t>
    </dgm:pt>
    <dgm:pt modelId="{9B306157-7E93-4711-8C76-790D21F09000}">
      <dgm:prSet phldrT="[Tekst]" custT="1"/>
      <dgm:spPr/>
      <dgm:t>
        <a:bodyPr/>
        <a:lstStyle/>
        <a:p>
          <a:pPr algn="l"/>
          <a:r>
            <a:rPr lang="pl-PL" sz="1200" b="1">
              <a:latin typeface="Arial" pitchFamily="34" charset="0"/>
              <a:cs typeface="Arial" pitchFamily="34" charset="0"/>
            </a:rPr>
            <a:t>Rozdział 2</a:t>
          </a:r>
          <a:r>
            <a:rPr lang="pl-PL" sz="1400" b="1">
              <a:latin typeface="Arial" pitchFamily="34" charset="0"/>
              <a:cs typeface="Arial" pitchFamily="34" charset="0"/>
            </a:rPr>
            <a:t>.</a:t>
          </a:r>
        </a:p>
      </dgm:t>
    </dgm:pt>
    <dgm:pt modelId="{681A13FF-86CA-4B8F-BAC1-79480BF3A88C}" type="parTrans" cxnId="{3810F7DB-3BAA-40BA-96E4-D7DCC2C0F103}">
      <dgm:prSet/>
      <dgm:spPr/>
      <dgm:t>
        <a:bodyPr/>
        <a:lstStyle/>
        <a:p>
          <a:pPr algn="l"/>
          <a:endParaRPr lang="pl-PL"/>
        </a:p>
      </dgm:t>
    </dgm:pt>
    <dgm:pt modelId="{68593D81-E967-4717-9E5D-417BC1BC6469}" type="sibTrans" cxnId="{3810F7DB-3BAA-40BA-96E4-D7DCC2C0F103}">
      <dgm:prSet/>
      <dgm:spPr/>
      <dgm:t>
        <a:bodyPr/>
        <a:lstStyle/>
        <a:p>
          <a:pPr algn="l"/>
          <a:endParaRPr lang="pl-PL"/>
        </a:p>
      </dgm:t>
    </dgm:pt>
    <dgm:pt modelId="{2488A71C-1295-4AED-A779-DEDB8C1A0EF8}">
      <dgm:prSet phldrT="[Tekst]" custT="1"/>
      <dgm:spPr/>
      <dgm:t>
        <a:bodyPr/>
        <a:lstStyle/>
        <a:p>
          <a:pPr algn="l"/>
          <a:r>
            <a:rPr lang="pl-PL" sz="1200" b="1">
              <a:latin typeface="Arial" pitchFamily="34" charset="0"/>
              <a:cs typeface="Arial" pitchFamily="34" charset="0"/>
            </a:rPr>
            <a:t>Rozdział 3.</a:t>
          </a:r>
        </a:p>
      </dgm:t>
    </dgm:pt>
    <dgm:pt modelId="{D803D29C-3653-4CAB-B5F5-AC5FE90B69E3}" type="parTrans" cxnId="{85232DBA-FC26-4C2F-B249-F1D8F7F9994C}">
      <dgm:prSet/>
      <dgm:spPr/>
      <dgm:t>
        <a:bodyPr/>
        <a:lstStyle/>
        <a:p>
          <a:pPr algn="l"/>
          <a:endParaRPr lang="pl-PL"/>
        </a:p>
      </dgm:t>
    </dgm:pt>
    <dgm:pt modelId="{6237009E-BBEC-4E4A-9D41-7D549A1B3CC6}" type="sibTrans" cxnId="{85232DBA-FC26-4C2F-B249-F1D8F7F9994C}">
      <dgm:prSet/>
      <dgm:spPr/>
      <dgm:t>
        <a:bodyPr/>
        <a:lstStyle/>
        <a:p>
          <a:pPr algn="l"/>
          <a:endParaRPr lang="pl-PL"/>
        </a:p>
      </dgm:t>
    </dgm:pt>
    <dgm:pt modelId="{51B0DE22-545C-4C76-B38D-EB25B45B2E86}">
      <dgm:prSet phldrT="[Tekst]" custT="1"/>
      <dgm:spPr/>
      <dgm:t>
        <a:bodyPr/>
        <a:lstStyle/>
        <a:p>
          <a:pPr algn="l"/>
          <a:r>
            <a:rPr lang="pl-PL" sz="1200" b="1">
              <a:latin typeface="Arial" pitchFamily="34" charset="0"/>
              <a:cs typeface="Arial" pitchFamily="34" charset="0"/>
            </a:rPr>
            <a:t>Rozdział 4.</a:t>
          </a:r>
        </a:p>
      </dgm:t>
    </dgm:pt>
    <dgm:pt modelId="{84D9F7F3-D51B-42A9-B6AF-8601BE93DDEB}" type="parTrans" cxnId="{0824F762-ACE1-41FC-A53E-7DD453CDF709}">
      <dgm:prSet/>
      <dgm:spPr/>
      <dgm:t>
        <a:bodyPr/>
        <a:lstStyle/>
        <a:p>
          <a:endParaRPr lang="pl-PL"/>
        </a:p>
      </dgm:t>
    </dgm:pt>
    <dgm:pt modelId="{0A6FC9AC-35D4-45C0-8F7C-9B3907EF3C13}" type="sibTrans" cxnId="{0824F762-ACE1-41FC-A53E-7DD453CDF709}">
      <dgm:prSet/>
      <dgm:spPr/>
      <dgm:t>
        <a:bodyPr/>
        <a:lstStyle/>
        <a:p>
          <a:endParaRPr lang="pl-PL"/>
        </a:p>
      </dgm:t>
    </dgm:pt>
    <dgm:pt modelId="{183F5A58-73CD-4D7B-A366-16BD2240F9A4}">
      <dgm:prSet phldrT="[Tekst]" custT="1"/>
      <dgm:spPr/>
      <dgm:t>
        <a:bodyPr/>
        <a:lstStyle/>
        <a:p>
          <a:pPr algn="just"/>
          <a:r>
            <a:rPr lang="pl-PL" sz="1100" b="1" i="1">
              <a:latin typeface="Arial" pitchFamily="34" charset="0"/>
              <a:cs typeface="Arial" pitchFamily="34" charset="0"/>
            </a:rPr>
            <a:t>Wstęp. </a:t>
          </a:r>
          <a:r>
            <a:rPr lang="pl-PL" sz="1100">
              <a:latin typeface="Arial" pitchFamily="34" charset="0"/>
              <a:cs typeface="Arial" pitchFamily="34" charset="0"/>
            </a:rPr>
            <a:t>W rozdziale ujęto informacje ogólne nt. obowiązków przypisanych gminie wynikających z realizacji krajowego "Programu..."; charakterystykę gminy, nadrzędny długoterminowy cel i zadania "Programu..." oraz koncepcję zarządzania  "Programem...".</a:t>
          </a:r>
        </a:p>
      </dgm:t>
    </dgm:pt>
    <dgm:pt modelId="{CBC40F22-0AE8-427E-89B1-EB084DA1F77D}" type="parTrans" cxnId="{B64B4A05-DFF3-403C-B814-5FC6B8ED9F72}">
      <dgm:prSet/>
      <dgm:spPr/>
      <dgm:t>
        <a:bodyPr/>
        <a:lstStyle/>
        <a:p>
          <a:endParaRPr lang="pl-PL"/>
        </a:p>
      </dgm:t>
    </dgm:pt>
    <dgm:pt modelId="{39B0D1A3-1117-4DE7-93DF-BFC30AD6EBC2}" type="sibTrans" cxnId="{B64B4A05-DFF3-403C-B814-5FC6B8ED9F72}">
      <dgm:prSet/>
      <dgm:spPr/>
      <dgm:t>
        <a:bodyPr/>
        <a:lstStyle/>
        <a:p>
          <a:endParaRPr lang="pl-PL"/>
        </a:p>
      </dgm:t>
    </dgm:pt>
    <dgm:pt modelId="{7FDBFA62-EBDF-4ED6-A590-85FCC1A52676}">
      <dgm:prSet phldrT="[Tekst]" custT="1"/>
      <dgm:spPr/>
      <dgm:t>
        <a:bodyPr/>
        <a:lstStyle/>
        <a:p>
          <a:pPr algn="just"/>
          <a:r>
            <a:rPr lang="pl-PL" sz="1100" b="1" i="1">
              <a:latin typeface="Arial" pitchFamily="34" charset="0"/>
              <a:cs typeface="Arial" pitchFamily="34" charset="0"/>
            </a:rPr>
            <a:t>Charakterystyka wyrobów zawierających azbest i oddziaływanie azbestu na zdrowie człowieka. </a:t>
          </a:r>
          <a:r>
            <a:rPr lang="pl-PL" sz="1100">
              <a:latin typeface="Arial" pitchFamily="34" charset="0"/>
              <a:cs typeface="Arial" pitchFamily="34" charset="0"/>
            </a:rPr>
            <a:t>W tym rozdziale przedstawiono charakterystykę azbestu i jego zastosowanie, sposoby bezpiecznego użytkowania wyrobów zawierających azbest i metody ich usuwania, oddziaływanie azbestu na zdrowie ludzi oraz zasady informowania o ryzyku związanym z narażeniem na azbest występujący w środowisku.</a:t>
          </a:r>
          <a:endParaRPr lang="pl-PL" sz="1100" b="1">
            <a:latin typeface="Arial" pitchFamily="34" charset="0"/>
            <a:cs typeface="Arial" pitchFamily="34" charset="0"/>
          </a:endParaRPr>
        </a:p>
      </dgm:t>
    </dgm:pt>
    <dgm:pt modelId="{E830CEC0-1A0F-4EE7-ABD5-1763FC2113FA}" type="parTrans" cxnId="{DEE19C39-A3B9-463C-B61A-A29AB364DCC7}">
      <dgm:prSet/>
      <dgm:spPr/>
      <dgm:t>
        <a:bodyPr/>
        <a:lstStyle/>
        <a:p>
          <a:endParaRPr lang="pl-PL"/>
        </a:p>
      </dgm:t>
    </dgm:pt>
    <dgm:pt modelId="{1E614C41-40E8-4763-ADBC-185B81E21177}" type="sibTrans" cxnId="{DEE19C39-A3B9-463C-B61A-A29AB364DCC7}">
      <dgm:prSet/>
      <dgm:spPr/>
      <dgm:t>
        <a:bodyPr/>
        <a:lstStyle/>
        <a:p>
          <a:endParaRPr lang="pl-PL"/>
        </a:p>
      </dgm:t>
    </dgm:pt>
    <dgm:pt modelId="{C4947136-C70B-4A0F-9DBB-803DC33EF58C}">
      <dgm:prSet custT="1"/>
      <dgm:spPr/>
      <dgm:t>
        <a:bodyPr/>
        <a:lstStyle/>
        <a:p>
          <a:pPr algn="just"/>
          <a:r>
            <a:rPr lang="pl-PL" sz="1100" b="1" i="1">
              <a:latin typeface="Arial" pitchFamily="34" charset="0"/>
              <a:cs typeface="Arial" pitchFamily="34" charset="0"/>
            </a:rPr>
            <a:t>Stan prawny w zakresie użytkowania i usuwania wyrobów i odpadów zawierających azbest. </a:t>
          </a:r>
          <a:r>
            <a:rPr lang="pl-PL" sz="1100">
              <a:latin typeface="Arial" pitchFamily="34" charset="0"/>
              <a:cs typeface="Arial" pitchFamily="34" charset="0"/>
            </a:rPr>
            <a:t>W rozdziale tym przedstawiono wybrane akty prawne dotyczące użytkowania i usuwania wyrobów zawierających azbest oraz procedury postępowania z wyrobami i odpadami zawierającymi azbest.</a:t>
          </a:r>
        </a:p>
      </dgm:t>
    </dgm:pt>
    <dgm:pt modelId="{7F60DD66-ECEB-46DC-9CD7-3D5534E94871}" type="parTrans" cxnId="{7ABEEA7A-593B-4D36-9C27-86DF878EFDA3}">
      <dgm:prSet/>
      <dgm:spPr/>
      <dgm:t>
        <a:bodyPr/>
        <a:lstStyle/>
        <a:p>
          <a:endParaRPr lang="pl-PL"/>
        </a:p>
      </dgm:t>
    </dgm:pt>
    <dgm:pt modelId="{06C86920-225B-4B54-B8FA-988439EAD01D}" type="sibTrans" cxnId="{7ABEEA7A-593B-4D36-9C27-86DF878EFDA3}">
      <dgm:prSet/>
      <dgm:spPr/>
      <dgm:t>
        <a:bodyPr/>
        <a:lstStyle/>
        <a:p>
          <a:endParaRPr lang="pl-PL"/>
        </a:p>
      </dgm:t>
    </dgm:pt>
    <dgm:pt modelId="{360F124B-BBBE-433F-889D-703BD753E3BB}">
      <dgm:prSet phldrT="[Tekst]" custT="1"/>
      <dgm:spPr/>
      <dgm:t>
        <a:bodyPr/>
        <a:lstStyle/>
        <a:p>
          <a:pPr algn="just"/>
          <a:r>
            <a:rPr lang="pl-PL" sz="1100" b="1" i="1">
              <a:latin typeface="Arial" pitchFamily="34" charset="0"/>
              <a:cs typeface="Arial" pitchFamily="34" charset="0"/>
            </a:rPr>
            <a:t>Zadania jednostek samorządu terytorialnego w zakresie usuwania azbestu.</a:t>
          </a:r>
          <a:r>
            <a:rPr lang="pl-PL" sz="1100">
              <a:latin typeface="Arial" pitchFamily="34" charset="0"/>
              <a:cs typeface="Arial" pitchFamily="34" charset="0"/>
            </a:rPr>
            <a:t> W rozdziale przedstawiono koncepcję zarządzania "Programem..." oraz zadania w zakresie zarządzania "Programem...." na poszczególnych poziomach.</a:t>
          </a:r>
          <a:endParaRPr lang="pl-PL" sz="1100" b="1">
            <a:latin typeface="Arial" pitchFamily="34" charset="0"/>
            <a:cs typeface="Arial" pitchFamily="34" charset="0"/>
          </a:endParaRPr>
        </a:p>
      </dgm:t>
    </dgm:pt>
    <dgm:pt modelId="{589E617E-FDEC-43B8-ABD6-1CB1528A3592}" type="parTrans" cxnId="{C4E4973E-0DCD-4406-8F10-2BBCB8DA7692}">
      <dgm:prSet/>
      <dgm:spPr/>
      <dgm:t>
        <a:bodyPr/>
        <a:lstStyle/>
        <a:p>
          <a:endParaRPr lang="pl-PL"/>
        </a:p>
      </dgm:t>
    </dgm:pt>
    <dgm:pt modelId="{A32EC14C-67C7-419F-9E37-74CC4C27375F}" type="sibTrans" cxnId="{C4E4973E-0DCD-4406-8F10-2BBCB8DA7692}">
      <dgm:prSet/>
      <dgm:spPr/>
      <dgm:t>
        <a:bodyPr/>
        <a:lstStyle/>
        <a:p>
          <a:endParaRPr lang="pl-PL"/>
        </a:p>
      </dgm:t>
    </dgm:pt>
    <dgm:pt modelId="{D7FDFBA2-6E16-4F71-A7BF-110829C931ED}">
      <dgm:prSet phldrT="[Tekst]" custT="1"/>
      <dgm:spPr/>
      <dgm:t>
        <a:bodyPr/>
        <a:lstStyle/>
        <a:p>
          <a:pPr algn="just"/>
          <a:r>
            <a:rPr lang="pl-PL" sz="1200" b="1">
              <a:latin typeface="Arial" pitchFamily="34" charset="0"/>
              <a:cs typeface="Arial" pitchFamily="34" charset="0"/>
            </a:rPr>
            <a:t>Rozdział 5. </a:t>
          </a:r>
        </a:p>
      </dgm:t>
    </dgm:pt>
    <dgm:pt modelId="{DEDAD665-8985-4704-9AC9-47690D7F118A}" type="parTrans" cxnId="{D1163FAC-D578-479B-95E3-A1BA02865EE5}">
      <dgm:prSet/>
      <dgm:spPr/>
      <dgm:t>
        <a:bodyPr/>
        <a:lstStyle/>
        <a:p>
          <a:endParaRPr lang="pl-PL"/>
        </a:p>
      </dgm:t>
    </dgm:pt>
    <dgm:pt modelId="{795D1568-7436-4691-8117-B51E80139863}" type="sibTrans" cxnId="{D1163FAC-D578-479B-95E3-A1BA02865EE5}">
      <dgm:prSet/>
      <dgm:spPr/>
      <dgm:t>
        <a:bodyPr/>
        <a:lstStyle/>
        <a:p>
          <a:endParaRPr lang="pl-PL"/>
        </a:p>
      </dgm:t>
    </dgm:pt>
    <dgm:pt modelId="{1F5D5E63-7BA6-4E05-B452-97B1A4C59AB9}">
      <dgm:prSet phldrT="[Tekst]" custT="1"/>
      <dgm:spPr/>
      <dgm:t>
        <a:bodyPr/>
        <a:lstStyle/>
        <a:p>
          <a:pPr algn="just"/>
          <a:r>
            <a:rPr lang="pl-PL" sz="1200" b="1">
              <a:latin typeface="Arial" pitchFamily="34" charset="0"/>
              <a:cs typeface="Arial" pitchFamily="34" charset="0"/>
            </a:rPr>
            <a:t>Rozdział 6.</a:t>
          </a:r>
        </a:p>
      </dgm:t>
    </dgm:pt>
    <dgm:pt modelId="{75753687-C046-4716-91F7-8208F237CB50}" type="parTrans" cxnId="{20B01B35-76F8-4AAD-BFFA-B4648C13ABBD}">
      <dgm:prSet/>
      <dgm:spPr/>
      <dgm:t>
        <a:bodyPr/>
        <a:lstStyle/>
        <a:p>
          <a:endParaRPr lang="pl-PL"/>
        </a:p>
      </dgm:t>
    </dgm:pt>
    <dgm:pt modelId="{44CCBA7D-AA78-42D0-9261-D610B73F1B5D}" type="sibTrans" cxnId="{20B01B35-76F8-4AAD-BFFA-B4648C13ABBD}">
      <dgm:prSet/>
      <dgm:spPr/>
      <dgm:t>
        <a:bodyPr/>
        <a:lstStyle/>
        <a:p>
          <a:endParaRPr lang="pl-PL"/>
        </a:p>
      </dgm:t>
    </dgm:pt>
    <dgm:pt modelId="{510F9A4A-8642-4639-9DEB-A3D843379C69}">
      <dgm:prSet phldrT="[Tekst]" custT="1"/>
      <dgm:spPr/>
      <dgm:t>
        <a:bodyPr/>
        <a:lstStyle/>
        <a:p>
          <a:pPr algn="just"/>
          <a:r>
            <a:rPr lang="pl-PL" sz="1100" b="1" i="1">
              <a:latin typeface="Arial" pitchFamily="34" charset="0"/>
              <a:cs typeface="Arial" pitchFamily="34" charset="0"/>
            </a:rPr>
            <a:t>Gospodarowanie wyrobami i odpadami zawierającymi azbest na terenie gminy Mrocza. </a:t>
          </a:r>
          <a:r>
            <a:rPr lang="pl-PL" sz="1100">
              <a:latin typeface="Arial" pitchFamily="34" charset="0"/>
              <a:cs typeface="Arial" pitchFamily="34" charset="0"/>
            </a:rPr>
            <a:t>W rozdziale przedstawiono ilość wyrobów zawierających azbest wymagających usunięcia oraz strategię w zakresie usuwania wyrobów zawierających azbest i unieszkodliwiania odpadów azbestowych, tj. cele w perspektywie krótko-, średnio- i długoterminowej wraz z harmonogramem realizacji przedsięwzięć i ich kosztami oraz źródłami finansowania.</a:t>
          </a:r>
          <a:endParaRPr lang="pl-PL" sz="1100" b="1">
            <a:latin typeface="Arial" pitchFamily="34" charset="0"/>
            <a:cs typeface="Arial" pitchFamily="34" charset="0"/>
          </a:endParaRPr>
        </a:p>
      </dgm:t>
    </dgm:pt>
    <dgm:pt modelId="{293CBDD6-B838-4613-86B4-63E32EE19F03}" type="parTrans" cxnId="{AFBD0157-522A-464C-8E1B-4D255A198CC5}">
      <dgm:prSet/>
      <dgm:spPr/>
      <dgm:t>
        <a:bodyPr/>
        <a:lstStyle/>
        <a:p>
          <a:endParaRPr lang="pl-PL"/>
        </a:p>
      </dgm:t>
    </dgm:pt>
    <dgm:pt modelId="{0F446B3A-754D-4375-A3CC-DB948061F23D}" type="sibTrans" cxnId="{AFBD0157-522A-464C-8E1B-4D255A198CC5}">
      <dgm:prSet/>
      <dgm:spPr/>
      <dgm:t>
        <a:bodyPr/>
        <a:lstStyle/>
        <a:p>
          <a:endParaRPr lang="pl-PL"/>
        </a:p>
      </dgm:t>
    </dgm:pt>
    <dgm:pt modelId="{0FECB9B1-5A5E-4EC4-8742-FA569DB6929F}">
      <dgm:prSet phldrT="[Tekst]" custT="1"/>
      <dgm:spPr/>
      <dgm:t>
        <a:bodyPr/>
        <a:lstStyle/>
        <a:p>
          <a:pPr algn="just"/>
          <a:r>
            <a:rPr lang="pl-PL" sz="1100" b="1" i="1">
              <a:latin typeface="Arial" pitchFamily="34" charset="0"/>
              <a:cs typeface="Arial" pitchFamily="34" charset="0"/>
            </a:rPr>
            <a:t>Wnioski końcowe</a:t>
          </a:r>
          <a:r>
            <a:rPr lang="pl-PL" sz="1100">
              <a:latin typeface="Arial" pitchFamily="34" charset="0"/>
              <a:cs typeface="Arial" pitchFamily="34" charset="0"/>
            </a:rPr>
            <a:t>. Podsumowanie wraz z wnioskami.</a:t>
          </a:r>
          <a:endParaRPr lang="pl-PL" sz="1100" b="1">
            <a:latin typeface="Arial" pitchFamily="34" charset="0"/>
            <a:cs typeface="Arial" pitchFamily="34" charset="0"/>
          </a:endParaRPr>
        </a:p>
      </dgm:t>
    </dgm:pt>
    <dgm:pt modelId="{56EAFEA4-A736-4659-B836-08CB639904C4}" type="parTrans" cxnId="{07370A0E-AB04-484F-BE61-B79B35F1EA38}">
      <dgm:prSet/>
      <dgm:spPr/>
      <dgm:t>
        <a:bodyPr/>
        <a:lstStyle/>
        <a:p>
          <a:endParaRPr lang="pl-PL"/>
        </a:p>
      </dgm:t>
    </dgm:pt>
    <dgm:pt modelId="{02E131A1-B182-4AB0-93C5-D06CF36E3C5B}" type="sibTrans" cxnId="{07370A0E-AB04-484F-BE61-B79B35F1EA38}">
      <dgm:prSet/>
      <dgm:spPr/>
      <dgm:t>
        <a:bodyPr/>
        <a:lstStyle/>
        <a:p>
          <a:endParaRPr lang="pl-PL"/>
        </a:p>
      </dgm:t>
    </dgm:pt>
    <dgm:pt modelId="{46852365-468C-4165-8723-BD1409BEA424}" type="pres">
      <dgm:prSet presAssocID="{D90D7B2A-F005-49F9-BAAB-91A0698EB80C}" presName="linear" presStyleCnt="0">
        <dgm:presLayoutVars>
          <dgm:dir/>
          <dgm:animLvl val="lvl"/>
          <dgm:resizeHandles val="exact"/>
        </dgm:presLayoutVars>
      </dgm:prSet>
      <dgm:spPr/>
    </dgm:pt>
    <dgm:pt modelId="{EC0491EA-CD6B-4AAD-A191-5F0D85ED3116}" type="pres">
      <dgm:prSet presAssocID="{A0FCBCC7-5573-4CC5-8F8A-30C9E3E88025}" presName="parentLin" presStyleCnt="0"/>
      <dgm:spPr/>
    </dgm:pt>
    <dgm:pt modelId="{79E0E4D8-1478-41B1-AF1B-9007A39507A9}" type="pres">
      <dgm:prSet presAssocID="{A0FCBCC7-5573-4CC5-8F8A-30C9E3E88025}" presName="parentLeftMargin" presStyleLbl="node1" presStyleIdx="0" presStyleCnt="6"/>
      <dgm:spPr/>
    </dgm:pt>
    <dgm:pt modelId="{817FF6E8-B307-4DC6-B3F1-FAE2B6A3423C}" type="pres">
      <dgm:prSet presAssocID="{A0FCBCC7-5573-4CC5-8F8A-30C9E3E88025}" presName="parentText" presStyleLbl="node1" presStyleIdx="0" presStyleCnt="6">
        <dgm:presLayoutVars>
          <dgm:chMax val="0"/>
          <dgm:bulletEnabled val="1"/>
        </dgm:presLayoutVars>
      </dgm:prSet>
      <dgm:spPr/>
    </dgm:pt>
    <dgm:pt modelId="{192220EF-5BF4-4DA1-B41A-07965EA8D769}" type="pres">
      <dgm:prSet presAssocID="{A0FCBCC7-5573-4CC5-8F8A-30C9E3E88025}" presName="negativeSpace" presStyleCnt="0"/>
      <dgm:spPr/>
    </dgm:pt>
    <dgm:pt modelId="{F99AF865-FA7A-4A51-AD51-BF36C36B072D}" type="pres">
      <dgm:prSet presAssocID="{A0FCBCC7-5573-4CC5-8F8A-30C9E3E88025}" presName="childText" presStyleLbl="conFgAcc1" presStyleIdx="0" presStyleCnt="6">
        <dgm:presLayoutVars>
          <dgm:bulletEnabled val="1"/>
        </dgm:presLayoutVars>
      </dgm:prSet>
      <dgm:spPr/>
    </dgm:pt>
    <dgm:pt modelId="{82A61FB1-22FD-4DD8-A9EA-6714002D1011}" type="pres">
      <dgm:prSet presAssocID="{32D0FB5C-D07A-49A3-B12E-BDA8310334EA}" presName="spaceBetweenRectangles" presStyleCnt="0"/>
      <dgm:spPr/>
    </dgm:pt>
    <dgm:pt modelId="{8208B1F9-E8F6-4B1F-8329-FA17E26583CD}" type="pres">
      <dgm:prSet presAssocID="{9B306157-7E93-4711-8C76-790D21F09000}" presName="parentLin" presStyleCnt="0"/>
      <dgm:spPr/>
    </dgm:pt>
    <dgm:pt modelId="{9B7034C1-F80F-465A-B67D-38D8EA55EE9B}" type="pres">
      <dgm:prSet presAssocID="{9B306157-7E93-4711-8C76-790D21F09000}" presName="parentLeftMargin" presStyleLbl="node1" presStyleIdx="0" presStyleCnt="6"/>
      <dgm:spPr/>
    </dgm:pt>
    <dgm:pt modelId="{CFA3C8C4-6B78-437A-A369-39543B4978C6}" type="pres">
      <dgm:prSet presAssocID="{9B306157-7E93-4711-8C76-790D21F09000}" presName="parentText" presStyleLbl="node1" presStyleIdx="1" presStyleCnt="6">
        <dgm:presLayoutVars>
          <dgm:chMax val="0"/>
          <dgm:bulletEnabled val="1"/>
        </dgm:presLayoutVars>
      </dgm:prSet>
      <dgm:spPr/>
    </dgm:pt>
    <dgm:pt modelId="{00BB6FCC-A81B-4219-B36A-BB23864EFB0A}" type="pres">
      <dgm:prSet presAssocID="{9B306157-7E93-4711-8C76-790D21F09000}" presName="negativeSpace" presStyleCnt="0"/>
      <dgm:spPr/>
    </dgm:pt>
    <dgm:pt modelId="{1A082EF2-2DEA-48BC-B083-DF83C4B041F1}" type="pres">
      <dgm:prSet presAssocID="{9B306157-7E93-4711-8C76-790D21F09000}" presName="childText" presStyleLbl="conFgAcc1" presStyleIdx="1" presStyleCnt="6">
        <dgm:presLayoutVars>
          <dgm:bulletEnabled val="1"/>
        </dgm:presLayoutVars>
      </dgm:prSet>
      <dgm:spPr/>
    </dgm:pt>
    <dgm:pt modelId="{A73107B2-1670-480E-856B-FBC902C33E66}" type="pres">
      <dgm:prSet presAssocID="{68593D81-E967-4717-9E5D-417BC1BC6469}" presName="spaceBetweenRectangles" presStyleCnt="0"/>
      <dgm:spPr/>
    </dgm:pt>
    <dgm:pt modelId="{701FB008-59C6-4E79-814A-5C441DDDBEF1}" type="pres">
      <dgm:prSet presAssocID="{2488A71C-1295-4AED-A779-DEDB8C1A0EF8}" presName="parentLin" presStyleCnt="0"/>
      <dgm:spPr/>
    </dgm:pt>
    <dgm:pt modelId="{86CAF18E-C12B-498E-9466-6437AC2052BB}" type="pres">
      <dgm:prSet presAssocID="{2488A71C-1295-4AED-A779-DEDB8C1A0EF8}" presName="parentLeftMargin" presStyleLbl="node1" presStyleIdx="1" presStyleCnt="6"/>
      <dgm:spPr/>
    </dgm:pt>
    <dgm:pt modelId="{3336A8B8-E01E-45C5-AC95-1CBF424B6946}" type="pres">
      <dgm:prSet presAssocID="{2488A71C-1295-4AED-A779-DEDB8C1A0EF8}" presName="parentText" presStyleLbl="node1" presStyleIdx="2" presStyleCnt="6">
        <dgm:presLayoutVars>
          <dgm:chMax val="0"/>
          <dgm:bulletEnabled val="1"/>
        </dgm:presLayoutVars>
      </dgm:prSet>
      <dgm:spPr/>
    </dgm:pt>
    <dgm:pt modelId="{CBC62B15-71AD-47F8-8EFA-A9CEEF5065A8}" type="pres">
      <dgm:prSet presAssocID="{2488A71C-1295-4AED-A779-DEDB8C1A0EF8}" presName="negativeSpace" presStyleCnt="0"/>
      <dgm:spPr/>
    </dgm:pt>
    <dgm:pt modelId="{ADE9AEFA-18ED-4754-AD00-30A9282F8120}" type="pres">
      <dgm:prSet presAssocID="{2488A71C-1295-4AED-A779-DEDB8C1A0EF8}" presName="childText" presStyleLbl="conFgAcc1" presStyleIdx="2" presStyleCnt="6">
        <dgm:presLayoutVars>
          <dgm:bulletEnabled val="1"/>
        </dgm:presLayoutVars>
      </dgm:prSet>
      <dgm:spPr/>
    </dgm:pt>
    <dgm:pt modelId="{3C33F8A8-156B-413D-AA84-CC84780B2D3D}" type="pres">
      <dgm:prSet presAssocID="{6237009E-BBEC-4E4A-9D41-7D549A1B3CC6}" presName="spaceBetweenRectangles" presStyleCnt="0"/>
      <dgm:spPr/>
    </dgm:pt>
    <dgm:pt modelId="{29B1EC51-D6A4-44D6-A370-624C27175DB1}" type="pres">
      <dgm:prSet presAssocID="{51B0DE22-545C-4C76-B38D-EB25B45B2E86}" presName="parentLin" presStyleCnt="0"/>
      <dgm:spPr/>
    </dgm:pt>
    <dgm:pt modelId="{71F1D525-7CCF-4C48-980C-56FECD7B4C4E}" type="pres">
      <dgm:prSet presAssocID="{51B0DE22-545C-4C76-B38D-EB25B45B2E86}" presName="parentLeftMargin" presStyleLbl="node1" presStyleIdx="2" presStyleCnt="6"/>
      <dgm:spPr/>
    </dgm:pt>
    <dgm:pt modelId="{6D0D78D7-EAD5-4675-97B9-A0D6ED4F573E}" type="pres">
      <dgm:prSet presAssocID="{51B0DE22-545C-4C76-B38D-EB25B45B2E86}" presName="parentText" presStyleLbl="node1" presStyleIdx="3" presStyleCnt="6">
        <dgm:presLayoutVars>
          <dgm:chMax val="0"/>
          <dgm:bulletEnabled val="1"/>
        </dgm:presLayoutVars>
      </dgm:prSet>
      <dgm:spPr/>
    </dgm:pt>
    <dgm:pt modelId="{4721BE87-95AB-42A0-8FBA-92DD5E897A11}" type="pres">
      <dgm:prSet presAssocID="{51B0DE22-545C-4C76-B38D-EB25B45B2E86}" presName="negativeSpace" presStyleCnt="0"/>
      <dgm:spPr/>
    </dgm:pt>
    <dgm:pt modelId="{E14F5E5C-E97B-4BCB-939E-5B2D08CF3416}" type="pres">
      <dgm:prSet presAssocID="{51B0DE22-545C-4C76-B38D-EB25B45B2E86}" presName="childText" presStyleLbl="conFgAcc1" presStyleIdx="3" presStyleCnt="6">
        <dgm:presLayoutVars>
          <dgm:bulletEnabled val="1"/>
        </dgm:presLayoutVars>
      </dgm:prSet>
      <dgm:spPr/>
    </dgm:pt>
    <dgm:pt modelId="{96C2E969-8A90-45F5-BF7E-C2735134217D}" type="pres">
      <dgm:prSet presAssocID="{0A6FC9AC-35D4-45C0-8F7C-9B3907EF3C13}" presName="spaceBetweenRectangles" presStyleCnt="0"/>
      <dgm:spPr/>
    </dgm:pt>
    <dgm:pt modelId="{90254F16-921E-490F-920B-FDFA821E4960}" type="pres">
      <dgm:prSet presAssocID="{D7FDFBA2-6E16-4F71-A7BF-110829C931ED}" presName="parentLin" presStyleCnt="0"/>
      <dgm:spPr/>
    </dgm:pt>
    <dgm:pt modelId="{8C452CD6-CD99-44E6-B684-D608D182E70E}" type="pres">
      <dgm:prSet presAssocID="{D7FDFBA2-6E16-4F71-A7BF-110829C931ED}" presName="parentLeftMargin" presStyleLbl="node1" presStyleIdx="3" presStyleCnt="6"/>
      <dgm:spPr/>
    </dgm:pt>
    <dgm:pt modelId="{2F7EB99A-846B-43CE-8258-AFA9982BCF76}" type="pres">
      <dgm:prSet presAssocID="{D7FDFBA2-6E16-4F71-A7BF-110829C931ED}" presName="parentText" presStyleLbl="node1" presStyleIdx="4" presStyleCnt="6">
        <dgm:presLayoutVars>
          <dgm:chMax val="0"/>
          <dgm:bulletEnabled val="1"/>
        </dgm:presLayoutVars>
      </dgm:prSet>
      <dgm:spPr/>
    </dgm:pt>
    <dgm:pt modelId="{DA49ED80-1ECC-4F17-B7D7-E85878E26B03}" type="pres">
      <dgm:prSet presAssocID="{D7FDFBA2-6E16-4F71-A7BF-110829C931ED}" presName="negativeSpace" presStyleCnt="0"/>
      <dgm:spPr/>
    </dgm:pt>
    <dgm:pt modelId="{1070BF7B-0B02-4663-92C0-BDEE79E352A8}" type="pres">
      <dgm:prSet presAssocID="{D7FDFBA2-6E16-4F71-A7BF-110829C931ED}" presName="childText" presStyleLbl="conFgAcc1" presStyleIdx="4" presStyleCnt="6">
        <dgm:presLayoutVars>
          <dgm:bulletEnabled val="1"/>
        </dgm:presLayoutVars>
      </dgm:prSet>
      <dgm:spPr/>
    </dgm:pt>
    <dgm:pt modelId="{FF9CD76E-134E-4102-9B8C-7D32C6622A87}" type="pres">
      <dgm:prSet presAssocID="{795D1568-7436-4691-8117-B51E80139863}" presName="spaceBetweenRectangles" presStyleCnt="0"/>
      <dgm:spPr/>
    </dgm:pt>
    <dgm:pt modelId="{938BDF01-3AE2-4FCE-8161-367CC6598068}" type="pres">
      <dgm:prSet presAssocID="{1F5D5E63-7BA6-4E05-B452-97B1A4C59AB9}" presName="parentLin" presStyleCnt="0"/>
      <dgm:spPr/>
    </dgm:pt>
    <dgm:pt modelId="{8FE3C593-20C0-4263-A2F5-04D48E2460FB}" type="pres">
      <dgm:prSet presAssocID="{1F5D5E63-7BA6-4E05-B452-97B1A4C59AB9}" presName="parentLeftMargin" presStyleLbl="node1" presStyleIdx="4" presStyleCnt="6"/>
      <dgm:spPr/>
    </dgm:pt>
    <dgm:pt modelId="{3C9C3B68-0D90-41F2-BDD3-C2C9F71747AC}" type="pres">
      <dgm:prSet presAssocID="{1F5D5E63-7BA6-4E05-B452-97B1A4C59AB9}" presName="parentText" presStyleLbl="node1" presStyleIdx="5" presStyleCnt="6">
        <dgm:presLayoutVars>
          <dgm:chMax val="0"/>
          <dgm:bulletEnabled val="1"/>
        </dgm:presLayoutVars>
      </dgm:prSet>
      <dgm:spPr/>
    </dgm:pt>
    <dgm:pt modelId="{C91E86BA-371D-4D6F-9185-C940F1EE6B36}" type="pres">
      <dgm:prSet presAssocID="{1F5D5E63-7BA6-4E05-B452-97B1A4C59AB9}" presName="negativeSpace" presStyleCnt="0"/>
      <dgm:spPr/>
    </dgm:pt>
    <dgm:pt modelId="{E161BD3D-10C6-4358-A2B1-09EC4D32DC89}" type="pres">
      <dgm:prSet presAssocID="{1F5D5E63-7BA6-4E05-B452-97B1A4C59AB9}" presName="childText" presStyleLbl="conFgAcc1" presStyleIdx="5" presStyleCnt="6">
        <dgm:presLayoutVars>
          <dgm:bulletEnabled val="1"/>
        </dgm:presLayoutVars>
      </dgm:prSet>
      <dgm:spPr/>
    </dgm:pt>
  </dgm:ptLst>
  <dgm:cxnLst>
    <dgm:cxn modelId="{B64B4A05-DFF3-403C-B814-5FC6B8ED9F72}" srcId="{A0FCBCC7-5573-4CC5-8F8A-30C9E3E88025}" destId="{183F5A58-73CD-4D7B-A366-16BD2240F9A4}" srcOrd="0" destOrd="0" parTransId="{CBC40F22-0AE8-427E-89B1-EB084DA1F77D}" sibTransId="{39B0D1A3-1117-4DE7-93DF-BFC30AD6EBC2}"/>
    <dgm:cxn modelId="{07370A0E-AB04-484F-BE61-B79B35F1EA38}" srcId="{1F5D5E63-7BA6-4E05-B452-97B1A4C59AB9}" destId="{0FECB9B1-5A5E-4EC4-8742-FA569DB6929F}" srcOrd="0" destOrd="0" parTransId="{56EAFEA4-A736-4659-B836-08CB639904C4}" sibTransId="{02E131A1-B182-4AB0-93C5-D06CF36E3C5B}"/>
    <dgm:cxn modelId="{20B01B35-76F8-4AAD-BFFA-B4648C13ABBD}" srcId="{D90D7B2A-F005-49F9-BAAB-91A0698EB80C}" destId="{1F5D5E63-7BA6-4E05-B452-97B1A4C59AB9}" srcOrd="5" destOrd="0" parTransId="{75753687-C046-4716-91F7-8208F237CB50}" sibTransId="{44CCBA7D-AA78-42D0-9261-D610B73F1B5D}"/>
    <dgm:cxn modelId="{DEE19C39-A3B9-463C-B61A-A29AB364DCC7}" srcId="{9B306157-7E93-4711-8C76-790D21F09000}" destId="{7FDBFA62-EBDF-4ED6-A590-85FCC1A52676}" srcOrd="0" destOrd="0" parTransId="{E830CEC0-1A0F-4EE7-ABD5-1763FC2113FA}" sibTransId="{1E614C41-40E8-4763-ADBC-185B81E21177}"/>
    <dgm:cxn modelId="{C4E4973E-0DCD-4406-8F10-2BBCB8DA7692}" srcId="{51B0DE22-545C-4C76-B38D-EB25B45B2E86}" destId="{360F124B-BBBE-433F-889D-703BD753E3BB}" srcOrd="0" destOrd="0" parTransId="{589E617E-FDEC-43B8-ABD6-1CB1528A3592}" sibTransId="{A32EC14C-67C7-419F-9E37-74CC4C27375F}"/>
    <dgm:cxn modelId="{5499E95E-57AE-4A9E-8237-17564088320F}" type="presOf" srcId="{51B0DE22-545C-4C76-B38D-EB25B45B2E86}" destId="{6D0D78D7-EAD5-4675-97B9-A0D6ED4F573E}" srcOrd="1" destOrd="0" presId="urn:microsoft.com/office/officeart/2005/8/layout/list1"/>
    <dgm:cxn modelId="{0824F762-ACE1-41FC-A53E-7DD453CDF709}" srcId="{D90D7B2A-F005-49F9-BAAB-91A0698EB80C}" destId="{51B0DE22-545C-4C76-B38D-EB25B45B2E86}" srcOrd="3" destOrd="0" parTransId="{84D9F7F3-D51B-42A9-B6AF-8601BE93DDEB}" sibTransId="{0A6FC9AC-35D4-45C0-8F7C-9B3907EF3C13}"/>
    <dgm:cxn modelId="{5C45994B-1F5D-43E8-85EF-4626661121CA}" type="presOf" srcId="{A0FCBCC7-5573-4CC5-8F8A-30C9E3E88025}" destId="{79E0E4D8-1478-41B1-AF1B-9007A39507A9}" srcOrd="0" destOrd="0" presId="urn:microsoft.com/office/officeart/2005/8/layout/list1"/>
    <dgm:cxn modelId="{7BDC6F50-A689-4D1C-911E-D03875B5FA06}" type="presOf" srcId="{1F5D5E63-7BA6-4E05-B452-97B1A4C59AB9}" destId="{3C9C3B68-0D90-41F2-BDD3-C2C9F71747AC}" srcOrd="1" destOrd="0" presId="urn:microsoft.com/office/officeart/2005/8/layout/list1"/>
    <dgm:cxn modelId="{AFBD0157-522A-464C-8E1B-4D255A198CC5}" srcId="{D7FDFBA2-6E16-4F71-A7BF-110829C931ED}" destId="{510F9A4A-8642-4639-9DEB-A3D843379C69}" srcOrd="0" destOrd="0" parTransId="{293CBDD6-B838-4613-86B4-63E32EE19F03}" sibTransId="{0F446B3A-754D-4375-A3CC-DB948061F23D}"/>
    <dgm:cxn modelId="{B313D577-6538-44E7-8EF1-8B32CAB6CEAD}" type="presOf" srcId="{D7FDFBA2-6E16-4F71-A7BF-110829C931ED}" destId="{2F7EB99A-846B-43CE-8258-AFA9982BCF76}" srcOrd="1" destOrd="0" presId="urn:microsoft.com/office/officeart/2005/8/layout/list1"/>
    <dgm:cxn modelId="{7ABEEA7A-593B-4D36-9C27-86DF878EFDA3}" srcId="{2488A71C-1295-4AED-A779-DEDB8C1A0EF8}" destId="{C4947136-C70B-4A0F-9DBB-803DC33EF58C}" srcOrd="0" destOrd="0" parTransId="{7F60DD66-ECEB-46DC-9CD7-3D5534E94871}" sibTransId="{06C86920-225B-4B54-B8FA-988439EAD01D}"/>
    <dgm:cxn modelId="{BA86A797-63B6-47B3-9EFE-CEFFEEE726E9}" type="presOf" srcId="{1F5D5E63-7BA6-4E05-B452-97B1A4C59AB9}" destId="{8FE3C593-20C0-4263-A2F5-04D48E2460FB}" srcOrd="0" destOrd="0" presId="urn:microsoft.com/office/officeart/2005/8/layout/list1"/>
    <dgm:cxn modelId="{91B1329F-1D80-4EAB-AAB3-AA5DB6FACB9E}" type="presOf" srcId="{7FDBFA62-EBDF-4ED6-A590-85FCC1A52676}" destId="{1A082EF2-2DEA-48BC-B083-DF83C4B041F1}" srcOrd="0" destOrd="0" presId="urn:microsoft.com/office/officeart/2005/8/layout/list1"/>
    <dgm:cxn modelId="{D1163FAC-D578-479B-95E3-A1BA02865EE5}" srcId="{D90D7B2A-F005-49F9-BAAB-91A0698EB80C}" destId="{D7FDFBA2-6E16-4F71-A7BF-110829C931ED}" srcOrd="4" destOrd="0" parTransId="{DEDAD665-8985-4704-9AC9-47690D7F118A}" sibTransId="{795D1568-7436-4691-8117-B51E80139863}"/>
    <dgm:cxn modelId="{6B1D82AD-410B-4526-92A1-209142BADB51}" type="presOf" srcId="{9B306157-7E93-4711-8C76-790D21F09000}" destId="{CFA3C8C4-6B78-437A-A369-39543B4978C6}" srcOrd="1" destOrd="0" presId="urn:microsoft.com/office/officeart/2005/8/layout/list1"/>
    <dgm:cxn modelId="{9A53B0B0-79BB-493A-AFDF-28B6644501A3}" type="presOf" srcId="{51B0DE22-545C-4C76-B38D-EB25B45B2E86}" destId="{71F1D525-7CCF-4C48-980C-56FECD7B4C4E}" srcOrd="0" destOrd="0" presId="urn:microsoft.com/office/officeart/2005/8/layout/list1"/>
    <dgm:cxn modelId="{EA5355B3-0DDE-4954-9CDD-9790C3474951}" type="presOf" srcId="{D7FDFBA2-6E16-4F71-A7BF-110829C931ED}" destId="{8C452CD6-CD99-44E6-B684-D608D182E70E}" srcOrd="0" destOrd="0" presId="urn:microsoft.com/office/officeart/2005/8/layout/list1"/>
    <dgm:cxn modelId="{85232DBA-FC26-4C2F-B249-F1D8F7F9994C}" srcId="{D90D7B2A-F005-49F9-BAAB-91A0698EB80C}" destId="{2488A71C-1295-4AED-A779-DEDB8C1A0EF8}" srcOrd="2" destOrd="0" parTransId="{D803D29C-3653-4CAB-B5F5-AC5FE90B69E3}" sibTransId="{6237009E-BBEC-4E4A-9D41-7D549A1B3CC6}"/>
    <dgm:cxn modelId="{42894FC0-642E-4E75-9A1C-C438076A5E3D}" type="presOf" srcId="{360F124B-BBBE-433F-889D-703BD753E3BB}" destId="{E14F5E5C-E97B-4BCB-939E-5B2D08CF3416}" srcOrd="0" destOrd="0" presId="urn:microsoft.com/office/officeart/2005/8/layout/list1"/>
    <dgm:cxn modelId="{3CB52ACA-B792-4D03-B4E1-60C602461960}" type="presOf" srcId="{A0FCBCC7-5573-4CC5-8F8A-30C9E3E88025}" destId="{817FF6E8-B307-4DC6-B3F1-FAE2B6A3423C}" srcOrd="1" destOrd="0" presId="urn:microsoft.com/office/officeart/2005/8/layout/list1"/>
    <dgm:cxn modelId="{24F7C4CD-5736-430C-96B9-829A54F18048}" type="presOf" srcId="{9B306157-7E93-4711-8C76-790D21F09000}" destId="{9B7034C1-F80F-465A-B67D-38D8EA55EE9B}" srcOrd="0" destOrd="0" presId="urn:microsoft.com/office/officeart/2005/8/layout/list1"/>
    <dgm:cxn modelId="{38536FD0-8FEF-47A7-86C1-49221521BA00}" type="presOf" srcId="{510F9A4A-8642-4639-9DEB-A3D843379C69}" destId="{1070BF7B-0B02-4663-92C0-BDEE79E352A8}" srcOrd="0" destOrd="0" presId="urn:microsoft.com/office/officeart/2005/8/layout/list1"/>
    <dgm:cxn modelId="{6CD7BDDA-B0E1-4AAD-A8E3-770641321CA0}" type="presOf" srcId="{C4947136-C70B-4A0F-9DBB-803DC33EF58C}" destId="{ADE9AEFA-18ED-4754-AD00-30A9282F8120}" srcOrd="0" destOrd="0" presId="urn:microsoft.com/office/officeart/2005/8/layout/list1"/>
    <dgm:cxn modelId="{3810F7DB-3BAA-40BA-96E4-D7DCC2C0F103}" srcId="{D90D7B2A-F005-49F9-BAAB-91A0698EB80C}" destId="{9B306157-7E93-4711-8C76-790D21F09000}" srcOrd="1" destOrd="0" parTransId="{681A13FF-86CA-4B8F-BAC1-79480BF3A88C}" sibTransId="{68593D81-E967-4717-9E5D-417BC1BC6469}"/>
    <dgm:cxn modelId="{98C10EDF-7C15-4B8C-BB04-D2F0142D7D89}" type="presOf" srcId="{183F5A58-73CD-4D7B-A366-16BD2240F9A4}" destId="{F99AF865-FA7A-4A51-AD51-BF36C36B072D}" srcOrd="0" destOrd="0" presId="urn:microsoft.com/office/officeart/2005/8/layout/list1"/>
    <dgm:cxn modelId="{D0A32DE5-CCD4-43F6-9F42-BAE8001D213D}" type="presOf" srcId="{2488A71C-1295-4AED-A779-DEDB8C1A0EF8}" destId="{86CAF18E-C12B-498E-9466-6437AC2052BB}" srcOrd="0" destOrd="0" presId="urn:microsoft.com/office/officeart/2005/8/layout/list1"/>
    <dgm:cxn modelId="{7A2A6FE8-B0AE-4785-BDA5-E25EA6B54C8D}" srcId="{D90D7B2A-F005-49F9-BAAB-91A0698EB80C}" destId="{A0FCBCC7-5573-4CC5-8F8A-30C9E3E88025}" srcOrd="0" destOrd="0" parTransId="{5F9E7B35-BB87-4728-B3C8-9623071F748D}" sibTransId="{32D0FB5C-D07A-49A3-B12E-BDA8310334EA}"/>
    <dgm:cxn modelId="{DEB6D0F3-63D5-4705-B5A9-07D0D617FEB0}" type="presOf" srcId="{0FECB9B1-5A5E-4EC4-8742-FA569DB6929F}" destId="{E161BD3D-10C6-4358-A2B1-09EC4D32DC89}" srcOrd="0" destOrd="0" presId="urn:microsoft.com/office/officeart/2005/8/layout/list1"/>
    <dgm:cxn modelId="{9BF5FFF9-8424-4F1A-B61C-BBF2D90580EC}" type="presOf" srcId="{2488A71C-1295-4AED-A779-DEDB8C1A0EF8}" destId="{3336A8B8-E01E-45C5-AC95-1CBF424B6946}" srcOrd="1" destOrd="0" presId="urn:microsoft.com/office/officeart/2005/8/layout/list1"/>
    <dgm:cxn modelId="{74FDE7FC-F858-4031-9C05-F6E44C614C1D}" type="presOf" srcId="{D90D7B2A-F005-49F9-BAAB-91A0698EB80C}" destId="{46852365-468C-4165-8723-BD1409BEA424}" srcOrd="0" destOrd="0" presId="urn:microsoft.com/office/officeart/2005/8/layout/list1"/>
    <dgm:cxn modelId="{05C84404-8294-4C5A-A652-7A2AD1F3D4A1}" type="presParOf" srcId="{46852365-468C-4165-8723-BD1409BEA424}" destId="{EC0491EA-CD6B-4AAD-A191-5F0D85ED3116}" srcOrd="0" destOrd="0" presId="urn:microsoft.com/office/officeart/2005/8/layout/list1"/>
    <dgm:cxn modelId="{2B8492E7-501A-410C-A688-E86415D4BA36}" type="presParOf" srcId="{EC0491EA-CD6B-4AAD-A191-5F0D85ED3116}" destId="{79E0E4D8-1478-41B1-AF1B-9007A39507A9}" srcOrd="0" destOrd="0" presId="urn:microsoft.com/office/officeart/2005/8/layout/list1"/>
    <dgm:cxn modelId="{19BE4555-6B6D-4B67-ABE4-6A59C05CBAA8}" type="presParOf" srcId="{EC0491EA-CD6B-4AAD-A191-5F0D85ED3116}" destId="{817FF6E8-B307-4DC6-B3F1-FAE2B6A3423C}" srcOrd="1" destOrd="0" presId="urn:microsoft.com/office/officeart/2005/8/layout/list1"/>
    <dgm:cxn modelId="{2B677379-0A15-487A-9242-6B933A88EFE5}" type="presParOf" srcId="{46852365-468C-4165-8723-BD1409BEA424}" destId="{192220EF-5BF4-4DA1-B41A-07965EA8D769}" srcOrd="1" destOrd="0" presId="urn:microsoft.com/office/officeart/2005/8/layout/list1"/>
    <dgm:cxn modelId="{F90105DF-4D25-44E9-9686-73B41B34DC91}" type="presParOf" srcId="{46852365-468C-4165-8723-BD1409BEA424}" destId="{F99AF865-FA7A-4A51-AD51-BF36C36B072D}" srcOrd="2" destOrd="0" presId="urn:microsoft.com/office/officeart/2005/8/layout/list1"/>
    <dgm:cxn modelId="{37301C88-2F07-48EC-922E-72557C1B5023}" type="presParOf" srcId="{46852365-468C-4165-8723-BD1409BEA424}" destId="{82A61FB1-22FD-4DD8-A9EA-6714002D1011}" srcOrd="3" destOrd="0" presId="urn:microsoft.com/office/officeart/2005/8/layout/list1"/>
    <dgm:cxn modelId="{61F0CE20-889B-458D-B4DF-0B52DF181310}" type="presParOf" srcId="{46852365-468C-4165-8723-BD1409BEA424}" destId="{8208B1F9-E8F6-4B1F-8329-FA17E26583CD}" srcOrd="4" destOrd="0" presId="urn:microsoft.com/office/officeart/2005/8/layout/list1"/>
    <dgm:cxn modelId="{A32383D5-042F-4CBD-9ED1-638E252EC3D7}" type="presParOf" srcId="{8208B1F9-E8F6-4B1F-8329-FA17E26583CD}" destId="{9B7034C1-F80F-465A-B67D-38D8EA55EE9B}" srcOrd="0" destOrd="0" presId="urn:microsoft.com/office/officeart/2005/8/layout/list1"/>
    <dgm:cxn modelId="{6B994710-D574-4043-A492-8B259DB03D2E}" type="presParOf" srcId="{8208B1F9-E8F6-4B1F-8329-FA17E26583CD}" destId="{CFA3C8C4-6B78-437A-A369-39543B4978C6}" srcOrd="1" destOrd="0" presId="urn:microsoft.com/office/officeart/2005/8/layout/list1"/>
    <dgm:cxn modelId="{805C7C44-5949-4031-BC91-C02AA47A78B2}" type="presParOf" srcId="{46852365-468C-4165-8723-BD1409BEA424}" destId="{00BB6FCC-A81B-4219-B36A-BB23864EFB0A}" srcOrd="5" destOrd="0" presId="urn:microsoft.com/office/officeart/2005/8/layout/list1"/>
    <dgm:cxn modelId="{CE0C1819-62C7-4083-B7DB-AF08BE0E191A}" type="presParOf" srcId="{46852365-468C-4165-8723-BD1409BEA424}" destId="{1A082EF2-2DEA-48BC-B083-DF83C4B041F1}" srcOrd="6" destOrd="0" presId="urn:microsoft.com/office/officeart/2005/8/layout/list1"/>
    <dgm:cxn modelId="{5C2CF68D-C10A-485E-8C90-293CF866E76C}" type="presParOf" srcId="{46852365-468C-4165-8723-BD1409BEA424}" destId="{A73107B2-1670-480E-856B-FBC902C33E66}" srcOrd="7" destOrd="0" presId="urn:microsoft.com/office/officeart/2005/8/layout/list1"/>
    <dgm:cxn modelId="{C7D50AB4-8192-49FD-BEA8-2731258FA90C}" type="presParOf" srcId="{46852365-468C-4165-8723-BD1409BEA424}" destId="{701FB008-59C6-4E79-814A-5C441DDDBEF1}" srcOrd="8" destOrd="0" presId="urn:microsoft.com/office/officeart/2005/8/layout/list1"/>
    <dgm:cxn modelId="{48DD46E6-33C7-4579-8B5E-D8B272E128C6}" type="presParOf" srcId="{701FB008-59C6-4E79-814A-5C441DDDBEF1}" destId="{86CAF18E-C12B-498E-9466-6437AC2052BB}" srcOrd="0" destOrd="0" presId="urn:microsoft.com/office/officeart/2005/8/layout/list1"/>
    <dgm:cxn modelId="{90CC069B-32ED-40AB-A12C-622060894387}" type="presParOf" srcId="{701FB008-59C6-4E79-814A-5C441DDDBEF1}" destId="{3336A8B8-E01E-45C5-AC95-1CBF424B6946}" srcOrd="1" destOrd="0" presId="urn:microsoft.com/office/officeart/2005/8/layout/list1"/>
    <dgm:cxn modelId="{5386651D-24C2-490E-8FD5-4D7BF42DDD0D}" type="presParOf" srcId="{46852365-468C-4165-8723-BD1409BEA424}" destId="{CBC62B15-71AD-47F8-8EFA-A9CEEF5065A8}" srcOrd="9" destOrd="0" presId="urn:microsoft.com/office/officeart/2005/8/layout/list1"/>
    <dgm:cxn modelId="{CBEC75DA-122F-4C07-BDAF-ACFF4CAD68C0}" type="presParOf" srcId="{46852365-468C-4165-8723-BD1409BEA424}" destId="{ADE9AEFA-18ED-4754-AD00-30A9282F8120}" srcOrd="10" destOrd="0" presId="urn:microsoft.com/office/officeart/2005/8/layout/list1"/>
    <dgm:cxn modelId="{D4B69F24-C13A-47B5-9807-0640E786F6D0}" type="presParOf" srcId="{46852365-468C-4165-8723-BD1409BEA424}" destId="{3C33F8A8-156B-413D-AA84-CC84780B2D3D}" srcOrd="11" destOrd="0" presId="urn:microsoft.com/office/officeart/2005/8/layout/list1"/>
    <dgm:cxn modelId="{B613BB54-2E97-4C1E-9F34-E51672F2B664}" type="presParOf" srcId="{46852365-468C-4165-8723-BD1409BEA424}" destId="{29B1EC51-D6A4-44D6-A370-624C27175DB1}" srcOrd="12" destOrd="0" presId="urn:microsoft.com/office/officeart/2005/8/layout/list1"/>
    <dgm:cxn modelId="{6B4D7C8A-DCED-45DE-9B78-E9750589DF66}" type="presParOf" srcId="{29B1EC51-D6A4-44D6-A370-624C27175DB1}" destId="{71F1D525-7CCF-4C48-980C-56FECD7B4C4E}" srcOrd="0" destOrd="0" presId="urn:microsoft.com/office/officeart/2005/8/layout/list1"/>
    <dgm:cxn modelId="{5F45738B-E32A-436C-AB93-570AD40BF827}" type="presParOf" srcId="{29B1EC51-D6A4-44D6-A370-624C27175DB1}" destId="{6D0D78D7-EAD5-4675-97B9-A0D6ED4F573E}" srcOrd="1" destOrd="0" presId="urn:microsoft.com/office/officeart/2005/8/layout/list1"/>
    <dgm:cxn modelId="{3CD5D913-EF5A-4289-A876-F6990D8D41D4}" type="presParOf" srcId="{46852365-468C-4165-8723-BD1409BEA424}" destId="{4721BE87-95AB-42A0-8FBA-92DD5E897A11}" srcOrd="13" destOrd="0" presId="urn:microsoft.com/office/officeart/2005/8/layout/list1"/>
    <dgm:cxn modelId="{B46E97C9-C523-4944-A3B1-6DD9C185720C}" type="presParOf" srcId="{46852365-468C-4165-8723-BD1409BEA424}" destId="{E14F5E5C-E97B-4BCB-939E-5B2D08CF3416}" srcOrd="14" destOrd="0" presId="urn:microsoft.com/office/officeart/2005/8/layout/list1"/>
    <dgm:cxn modelId="{FA49458A-2A45-43E6-AB4B-7D22D26CA862}" type="presParOf" srcId="{46852365-468C-4165-8723-BD1409BEA424}" destId="{96C2E969-8A90-45F5-BF7E-C2735134217D}" srcOrd="15" destOrd="0" presId="urn:microsoft.com/office/officeart/2005/8/layout/list1"/>
    <dgm:cxn modelId="{296DFD22-038A-4964-B20A-3EBE97B5AFC5}" type="presParOf" srcId="{46852365-468C-4165-8723-BD1409BEA424}" destId="{90254F16-921E-490F-920B-FDFA821E4960}" srcOrd="16" destOrd="0" presId="urn:microsoft.com/office/officeart/2005/8/layout/list1"/>
    <dgm:cxn modelId="{7319F3DB-424F-4A54-B8C3-B29D9C0D4AD5}" type="presParOf" srcId="{90254F16-921E-490F-920B-FDFA821E4960}" destId="{8C452CD6-CD99-44E6-B684-D608D182E70E}" srcOrd="0" destOrd="0" presId="urn:microsoft.com/office/officeart/2005/8/layout/list1"/>
    <dgm:cxn modelId="{88C7725C-B78E-4654-A824-13BEA34B3F00}" type="presParOf" srcId="{90254F16-921E-490F-920B-FDFA821E4960}" destId="{2F7EB99A-846B-43CE-8258-AFA9982BCF76}" srcOrd="1" destOrd="0" presId="urn:microsoft.com/office/officeart/2005/8/layout/list1"/>
    <dgm:cxn modelId="{C2CEEE33-5752-4909-8AB0-D80A064A4C5D}" type="presParOf" srcId="{46852365-468C-4165-8723-BD1409BEA424}" destId="{DA49ED80-1ECC-4F17-B7D7-E85878E26B03}" srcOrd="17" destOrd="0" presId="urn:microsoft.com/office/officeart/2005/8/layout/list1"/>
    <dgm:cxn modelId="{07BC9D89-363E-4751-A764-8952529BA61B}" type="presParOf" srcId="{46852365-468C-4165-8723-BD1409BEA424}" destId="{1070BF7B-0B02-4663-92C0-BDEE79E352A8}" srcOrd="18" destOrd="0" presId="urn:microsoft.com/office/officeart/2005/8/layout/list1"/>
    <dgm:cxn modelId="{C174B8BC-8392-4C11-BBCE-849634F35C83}" type="presParOf" srcId="{46852365-468C-4165-8723-BD1409BEA424}" destId="{FF9CD76E-134E-4102-9B8C-7D32C6622A87}" srcOrd="19" destOrd="0" presId="urn:microsoft.com/office/officeart/2005/8/layout/list1"/>
    <dgm:cxn modelId="{B1FD5BE7-04D7-4055-8323-20A4A7C60486}" type="presParOf" srcId="{46852365-468C-4165-8723-BD1409BEA424}" destId="{938BDF01-3AE2-4FCE-8161-367CC6598068}" srcOrd="20" destOrd="0" presId="urn:microsoft.com/office/officeart/2005/8/layout/list1"/>
    <dgm:cxn modelId="{364B4D9D-4B2D-406A-B29F-565538434628}" type="presParOf" srcId="{938BDF01-3AE2-4FCE-8161-367CC6598068}" destId="{8FE3C593-20C0-4263-A2F5-04D48E2460FB}" srcOrd="0" destOrd="0" presId="urn:microsoft.com/office/officeart/2005/8/layout/list1"/>
    <dgm:cxn modelId="{EC5205AA-AEF3-4333-BBD4-6E2725A91A8A}" type="presParOf" srcId="{938BDF01-3AE2-4FCE-8161-367CC6598068}" destId="{3C9C3B68-0D90-41F2-BDD3-C2C9F71747AC}" srcOrd="1" destOrd="0" presId="urn:microsoft.com/office/officeart/2005/8/layout/list1"/>
    <dgm:cxn modelId="{1ECA19D3-6066-47A0-97AE-1DAB41AD038E}" type="presParOf" srcId="{46852365-468C-4165-8723-BD1409BEA424}" destId="{C91E86BA-371D-4D6F-9185-C940F1EE6B36}" srcOrd="21" destOrd="0" presId="urn:microsoft.com/office/officeart/2005/8/layout/list1"/>
    <dgm:cxn modelId="{1C449C78-C454-4000-B832-95E126F84EF8}" type="presParOf" srcId="{46852365-468C-4165-8723-BD1409BEA424}" destId="{E161BD3D-10C6-4358-A2B1-09EC4D32DC89}" srcOrd="22" destOrd="0" presId="urn:microsoft.com/office/officeart/2005/8/layout/list1"/>
  </dgm:cxnLst>
  <dgm:bg/>
  <dgm:whole/>
  <dgm:extLst>
    <a:ext uri="http://schemas.microsoft.com/office/drawing/2008/diagram">
      <dsp:dataModelExt xmlns:dsp="http://schemas.microsoft.com/office/drawing/2008/diagram" relId="rId9"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FB0CDE53-9695-4168-ACBC-CF401D17EBA1}" type="doc">
      <dgm:prSet loTypeId="urn:microsoft.com/office/officeart/2005/8/layout/list1" loCatId="list" qsTypeId="urn:microsoft.com/office/officeart/2005/8/quickstyle/3d1" qsCatId="3D" csTypeId="urn:microsoft.com/office/officeart/2005/8/colors/accent0_3" csCatId="mainScheme" phldr="1"/>
      <dgm:spPr/>
      <dgm:t>
        <a:bodyPr/>
        <a:lstStyle/>
        <a:p>
          <a:endParaRPr lang="pl-PL"/>
        </a:p>
      </dgm:t>
    </dgm:pt>
    <dgm:pt modelId="{F489F050-D1D9-4385-ACD0-C35D0542F595}">
      <dgm:prSet phldrT="[Tekst]" custT="1"/>
      <dgm:spPr>
        <a:xfrm>
          <a:off x="329" y="6054"/>
          <a:ext cx="2622129" cy="1445804"/>
        </a:xfrm>
      </dgm:spPr>
      <dgm:t>
        <a:bodyPr/>
        <a:lstStyle/>
        <a:p>
          <a:pPr algn="just"/>
          <a:r>
            <a:rPr lang="pl-PL" sz="1100" b="1" i="1">
              <a:latin typeface="Arial" pitchFamily="34" charset="0"/>
              <a:ea typeface="+mn-ea"/>
              <a:cs typeface="Arial" pitchFamily="34" charset="0"/>
            </a:rPr>
            <a:t>Grupa I. </a:t>
          </a:r>
        </a:p>
        <a:p>
          <a:pPr algn="just"/>
          <a:r>
            <a:rPr lang="pl-PL" sz="1100" i="0">
              <a:latin typeface="Arial" pitchFamily="34" charset="0"/>
              <a:ea typeface="+mn-ea"/>
              <a:cs typeface="Arial" pitchFamily="34" charset="0"/>
            </a:rPr>
            <a:t>Procedury obowiązujące właścicieli i zarządzających obiektami, instalacjami  lub urządzeniami zawierającymi azbest.</a:t>
          </a:r>
        </a:p>
      </dgm:t>
    </dgm:pt>
    <dgm:pt modelId="{DEFB369E-D26A-4DA6-82B2-23B56275368C}" type="parTrans" cxnId="{D8A18318-3D9C-4F08-A839-D5FC5BBDE8B7}">
      <dgm:prSet/>
      <dgm:spPr/>
      <dgm:t>
        <a:bodyPr/>
        <a:lstStyle/>
        <a:p>
          <a:endParaRPr lang="pl-PL"/>
        </a:p>
      </dgm:t>
    </dgm:pt>
    <dgm:pt modelId="{F8C4D4E7-A8B3-4303-BC20-3D855361B8B9}" type="sibTrans" cxnId="{D8A18318-3D9C-4F08-A839-D5FC5BBDE8B7}">
      <dgm:prSet/>
      <dgm:spPr/>
      <dgm:t>
        <a:bodyPr/>
        <a:lstStyle/>
        <a:p>
          <a:endParaRPr lang="pl-PL"/>
        </a:p>
      </dgm:t>
    </dgm:pt>
    <dgm:pt modelId="{68DD54B2-8A0B-4A50-A95A-27ADBAEF2912}">
      <dgm:prSet phldrT="[Tekst]" custT="1"/>
      <dgm:spPr>
        <a:xfrm rot="5400000">
          <a:off x="3479907" y="-854401"/>
          <a:ext cx="1451818" cy="3166715"/>
        </a:xfrm>
      </dgm:spPr>
      <dgm:t>
        <a:bodyPr/>
        <a:lstStyle/>
        <a:p>
          <a:pPr algn="l"/>
          <a:r>
            <a:rPr lang="pl-PL" sz="1100" b="1">
              <a:latin typeface="Arial" pitchFamily="34" charset="0"/>
              <a:ea typeface="+mn-ea"/>
              <a:cs typeface="Arial" pitchFamily="34" charset="0"/>
            </a:rPr>
            <a:t>Procedura 1.</a:t>
          </a:r>
          <a:r>
            <a:rPr lang="pl-PL" sz="1100">
              <a:latin typeface="Arial" pitchFamily="34" charset="0"/>
              <a:ea typeface="+mn-ea"/>
              <a:cs typeface="Arial" pitchFamily="34" charset="0"/>
            </a:rPr>
            <a:t>   Obowiązki i postępowanie właścicieli oraz zarządców, przy użytkowaniu obiektów i terenów z wyrobami zawierającymi azbest.</a:t>
          </a:r>
        </a:p>
      </dgm:t>
    </dgm:pt>
    <dgm:pt modelId="{4698F3AC-5B83-409B-8A51-3AB5B34D969C}" type="parTrans" cxnId="{45050E10-A16C-486C-92B7-1CE11E36D162}">
      <dgm:prSet/>
      <dgm:spPr/>
      <dgm:t>
        <a:bodyPr/>
        <a:lstStyle/>
        <a:p>
          <a:endParaRPr lang="pl-PL"/>
        </a:p>
      </dgm:t>
    </dgm:pt>
    <dgm:pt modelId="{C4EB6476-2AB8-4AB5-B6B9-A60C9A15E909}" type="sibTrans" cxnId="{45050E10-A16C-486C-92B7-1CE11E36D162}">
      <dgm:prSet/>
      <dgm:spPr/>
      <dgm:t>
        <a:bodyPr/>
        <a:lstStyle/>
        <a:p>
          <a:endParaRPr lang="pl-PL"/>
        </a:p>
      </dgm:t>
    </dgm:pt>
    <dgm:pt modelId="{CE235D07-3422-41EB-82FF-60C16B9D8B71}">
      <dgm:prSet phldrT="[Tekst]" custT="1"/>
      <dgm:spPr>
        <a:xfrm>
          <a:off x="329" y="1527156"/>
          <a:ext cx="2571893" cy="1445804"/>
        </a:xfrm>
      </dgm:spPr>
      <dgm:t>
        <a:bodyPr/>
        <a:lstStyle/>
        <a:p>
          <a:pPr algn="just"/>
          <a:r>
            <a:rPr lang="pl-PL" sz="1100" b="1" i="1">
              <a:latin typeface="Arial" pitchFamily="34" charset="0"/>
              <a:ea typeface="+mn-ea"/>
              <a:cs typeface="Arial" pitchFamily="34" charset="0"/>
            </a:rPr>
            <a:t>Grupa II. </a:t>
          </a:r>
        </a:p>
        <a:p>
          <a:pPr algn="just"/>
          <a:r>
            <a:rPr lang="pl-PL" sz="1100" b="1" i="1">
              <a:latin typeface="Arial" pitchFamily="34" charset="0"/>
              <a:ea typeface="+mn-ea"/>
              <a:cs typeface="Arial" pitchFamily="34" charset="0"/>
            </a:rPr>
            <a:t> </a:t>
          </a:r>
          <a:r>
            <a:rPr lang="pl-PL" sz="1100" i="0">
              <a:latin typeface="Arial" pitchFamily="34" charset="0"/>
              <a:ea typeface="+mn-ea"/>
              <a:cs typeface="Arial" pitchFamily="34" charset="0"/>
            </a:rPr>
            <a:t>Procedury obowiązujące wykonawców prac polegających na usuwaniu wyrobów zawierających azbest – wytwórców odpadów niebezpiecznych.</a:t>
          </a:r>
        </a:p>
      </dgm:t>
    </dgm:pt>
    <dgm:pt modelId="{BB4791D9-D199-47A2-8FC3-A75E61A2F23A}" type="parTrans" cxnId="{0CD1E231-E884-49E4-AD44-C352EA959A18}">
      <dgm:prSet/>
      <dgm:spPr/>
      <dgm:t>
        <a:bodyPr/>
        <a:lstStyle/>
        <a:p>
          <a:endParaRPr lang="pl-PL"/>
        </a:p>
      </dgm:t>
    </dgm:pt>
    <dgm:pt modelId="{04C3085A-ECFA-442D-A057-7304EB5FAD9D}" type="sibTrans" cxnId="{0CD1E231-E884-49E4-AD44-C352EA959A18}">
      <dgm:prSet/>
      <dgm:spPr/>
      <dgm:t>
        <a:bodyPr/>
        <a:lstStyle/>
        <a:p>
          <a:endParaRPr lang="pl-PL"/>
        </a:p>
      </dgm:t>
    </dgm:pt>
    <dgm:pt modelId="{B0F40893-B7D0-49B2-B839-255653DA962D}">
      <dgm:prSet phldrT="[Tekst]" custT="1"/>
      <dgm:spPr>
        <a:xfrm rot="5400000">
          <a:off x="3602592" y="641366"/>
          <a:ext cx="1156643" cy="3217383"/>
        </a:xfrm>
      </dgm:spPr>
      <dgm:t>
        <a:bodyPr/>
        <a:lstStyle/>
        <a:p>
          <a:pPr algn="l"/>
          <a:r>
            <a:rPr lang="pl-PL" sz="1050" b="1">
              <a:latin typeface="Arial" pitchFamily="34" charset="0"/>
              <a:ea typeface="+mn-ea"/>
              <a:cs typeface="Arial" pitchFamily="34" charset="0"/>
            </a:rPr>
            <a:t>Procedura 3.</a:t>
          </a:r>
          <a:r>
            <a:rPr lang="pl-PL" sz="1050">
              <a:latin typeface="Arial" pitchFamily="34" charset="0"/>
              <a:ea typeface="+mn-ea"/>
              <a:cs typeface="Arial" pitchFamily="34" charset="0"/>
            </a:rPr>
            <a:t>    Postępowanie przy pracach przygotowawczych do usuwania wyrobów zawierających azbest.</a:t>
          </a:r>
        </a:p>
      </dgm:t>
    </dgm:pt>
    <dgm:pt modelId="{297FB4FE-DEC0-4D6B-95D7-8DB51A0D44FD}" type="parTrans" cxnId="{967AF958-F5AB-4AD3-8403-BCCF1B609B57}">
      <dgm:prSet/>
      <dgm:spPr/>
      <dgm:t>
        <a:bodyPr/>
        <a:lstStyle/>
        <a:p>
          <a:endParaRPr lang="pl-PL"/>
        </a:p>
      </dgm:t>
    </dgm:pt>
    <dgm:pt modelId="{9FCD3A5F-4A96-48B1-96CA-070226845905}" type="sibTrans" cxnId="{967AF958-F5AB-4AD3-8403-BCCF1B609B57}">
      <dgm:prSet/>
      <dgm:spPr/>
      <dgm:t>
        <a:bodyPr/>
        <a:lstStyle/>
        <a:p>
          <a:endParaRPr lang="pl-PL"/>
        </a:p>
      </dgm:t>
    </dgm:pt>
    <dgm:pt modelId="{8CAA792C-EFB6-4B2E-83A6-2C1116005A3B}">
      <dgm:prSet phldrT="[Tekst]" custT="1"/>
      <dgm:spPr>
        <a:xfrm rot="5400000">
          <a:off x="3479907" y="-854401"/>
          <a:ext cx="1451818" cy="3166715"/>
        </a:xfrm>
      </dgm:spPr>
      <dgm:t>
        <a:bodyPr/>
        <a:lstStyle/>
        <a:p>
          <a:pPr algn="l"/>
          <a:r>
            <a:rPr lang="pl-PL" sz="1100" b="1">
              <a:latin typeface="Arial" pitchFamily="34" charset="0"/>
              <a:ea typeface="+mn-ea"/>
              <a:cs typeface="Arial" pitchFamily="34" charset="0"/>
            </a:rPr>
            <a:t>Procedura 2. </a:t>
          </a:r>
          <a:r>
            <a:rPr lang="pl-PL" sz="1100">
              <a:latin typeface="Arial" pitchFamily="34" charset="0"/>
              <a:ea typeface="+mn-ea"/>
              <a:cs typeface="Arial" pitchFamily="34" charset="0"/>
            </a:rPr>
            <a:t>Obowiązki i postępowanie właścicieli i zarządców, przy usuwaniu wyrobów zawierających azbest z obiektów lub terenów.</a:t>
          </a:r>
        </a:p>
      </dgm:t>
    </dgm:pt>
    <dgm:pt modelId="{3AEEABEE-1808-474B-AAFF-C1AF5F3C6F6D}" type="parTrans" cxnId="{F37DF86D-CA64-4392-8AA9-109D6F8784C1}">
      <dgm:prSet/>
      <dgm:spPr/>
      <dgm:t>
        <a:bodyPr/>
        <a:lstStyle/>
        <a:p>
          <a:endParaRPr lang="pl-PL"/>
        </a:p>
      </dgm:t>
    </dgm:pt>
    <dgm:pt modelId="{27940C59-E60C-414A-A08A-94C84C081BC2}" type="sibTrans" cxnId="{F37DF86D-CA64-4392-8AA9-109D6F8784C1}">
      <dgm:prSet/>
      <dgm:spPr/>
      <dgm:t>
        <a:bodyPr/>
        <a:lstStyle/>
        <a:p>
          <a:endParaRPr lang="pl-PL"/>
        </a:p>
      </dgm:t>
    </dgm:pt>
    <dgm:pt modelId="{2383700B-92E0-4C30-B30D-D7B83289B0C5}">
      <dgm:prSet phldrT="[Tekst]" custT="1"/>
      <dgm:spPr>
        <a:xfrm rot="5400000">
          <a:off x="3602592" y="641366"/>
          <a:ext cx="1156643" cy="3217383"/>
        </a:xfrm>
      </dgm:spPr>
      <dgm:t>
        <a:bodyPr/>
        <a:lstStyle/>
        <a:p>
          <a:pPr algn="l"/>
          <a:r>
            <a:rPr lang="pl-PL" sz="1050" b="1">
              <a:latin typeface="Arial" pitchFamily="34" charset="0"/>
              <a:ea typeface="+mn-ea"/>
              <a:cs typeface="Arial" pitchFamily="34" charset="0"/>
            </a:rPr>
            <a:t>Procedura 4. </a:t>
          </a:r>
          <a:r>
            <a:rPr lang="pl-PL" sz="1050">
              <a:latin typeface="Arial" pitchFamily="34" charset="0"/>
              <a:ea typeface="+mn-ea"/>
              <a:cs typeface="Arial" pitchFamily="34" charset="0"/>
            </a:rPr>
            <a:t>Prace polegające na usuwaniu wyrobów zawierających azbest, wytwarzaniu odpadów niebezpiecznych, oczyszczeniu obiektu (terenu) instalacji.</a:t>
          </a:r>
        </a:p>
      </dgm:t>
    </dgm:pt>
    <dgm:pt modelId="{F0E7E7F3-7F97-47E1-BEC3-291A30D0ED57}" type="parTrans" cxnId="{A50CF8D5-5926-469E-B2EB-670EE8CF4EB5}">
      <dgm:prSet/>
      <dgm:spPr/>
      <dgm:t>
        <a:bodyPr/>
        <a:lstStyle/>
        <a:p>
          <a:endParaRPr lang="pl-PL"/>
        </a:p>
      </dgm:t>
    </dgm:pt>
    <dgm:pt modelId="{43BAC179-405B-4B86-973D-A75FAAEAD841}" type="sibTrans" cxnId="{A50CF8D5-5926-469E-B2EB-670EE8CF4EB5}">
      <dgm:prSet/>
      <dgm:spPr/>
      <dgm:t>
        <a:bodyPr/>
        <a:lstStyle/>
        <a:p>
          <a:endParaRPr lang="pl-PL"/>
        </a:p>
      </dgm:t>
    </dgm:pt>
    <dgm:pt modelId="{FBD4262D-6568-4685-8B88-8894683BABF0}">
      <dgm:prSet phldrT="[Tekst]" custT="1"/>
      <dgm:spPr>
        <a:xfrm>
          <a:off x="329" y="3045250"/>
          <a:ext cx="2496523" cy="1445804"/>
        </a:xfrm>
      </dgm:spPr>
      <dgm:t>
        <a:bodyPr/>
        <a:lstStyle/>
        <a:p>
          <a:pPr algn="just"/>
          <a:r>
            <a:rPr lang="pl-PL" sz="1100" b="1" i="1">
              <a:latin typeface="Arial" pitchFamily="34" charset="0"/>
              <a:ea typeface="+mn-ea"/>
              <a:cs typeface="Arial" pitchFamily="34" charset="0"/>
            </a:rPr>
            <a:t>Grupa III.                            </a:t>
          </a:r>
        </a:p>
        <a:p>
          <a:pPr algn="just"/>
          <a:r>
            <a:rPr lang="pl-PL" sz="1100" b="1" i="1">
              <a:latin typeface="Arial" pitchFamily="34" charset="0"/>
              <a:ea typeface="+mn-ea"/>
              <a:cs typeface="Arial" pitchFamily="34" charset="0"/>
            </a:rPr>
            <a:t> </a:t>
          </a:r>
          <a:r>
            <a:rPr lang="pl-PL" sz="1100" b="0" i="0">
              <a:latin typeface="Arial" pitchFamily="34" charset="0"/>
              <a:ea typeface="+mn-ea"/>
              <a:cs typeface="Arial" pitchFamily="34" charset="0"/>
            </a:rPr>
            <a:t>Procedura obowiązująca prowadzących działalność w zakresie transportu odpadów niebezpiecznych zawierających azbest.</a:t>
          </a:r>
        </a:p>
      </dgm:t>
    </dgm:pt>
    <dgm:pt modelId="{C39F25E4-16A3-4BA2-942D-C8FE22335663}" type="parTrans" cxnId="{B76D2CDE-4233-4769-8FDD-1298B350D898}">
      <dgm:prSet/>
      <dgm:spPr/>
      <dgm:t>
        <a:bodyPr/>
        <a:lstStyle/>
        <a:p>
          <a:endParaRPr lang="pl-PL"/>
        </a:p>
      </dgm:t>
    </dgm:pt>
    <dgm:pt modelId="{88EEA6D1-4744-42D5-813F-3033323C1035}" type="sibTrans" cxnId="{B76D2CDE-4233-4769-8FDD-1298B350D898}">
      <dgm:prSet/>
      <dgm:spPr/>
      <dgm:t>
        <a:bodyPr/>
        <a:lstStyle/>
        <a:p>
          <a:endParaRPr lang="pl-PL"/>
        </a:p>
      </dgm:t>
    </dgm:pt>
    <dgm:pt modelId="{DDB33B30-414F-404C-837D-4CB31A7F9649}">
      <dgm:prSet phldrT="[Tekst]" custT="1"/>
      <dgm:spPr>
        <a:xfrm rot="5400000">
          <a:off x="3565222" y="2121460"/>
          <a:ext cx="1156643" cy="3293384"/>
        </a:xfrm>
      </dgm:spPr>
      <dgm:t>
        <a:bodyPr/>
        <a:lstStyle/>
        <a:p>
          <a:pPr algn="l"/>
          <a:r>
            <a:rPr lang="pl-PL" sz="1050" b="1">
              <a:latin typeface="Arial" pitchFamily="34" charset="0"/>
              <a:ea typeface="+mn-ea"/>
              <a:cs typeface="Arial" pitchFamily="34" charset="0"/>
            </a:rPr>
            <a:t>Procedura 5.</a:t>
          </a:r>
          <a:r>
            <a:rPr lang="pl-PL" sz="1050">
              <a:latin typeface="Arial" pitchFamily="34" charset="0"/>
              <a:ea typeface="+mn-ea"/>
              <a:cs typeface="Arial" pitchFamily="34" charset="0"/>
            </a:rPr>
            <a:t>   Przygotowanie  i  transport   odpadów niebezpiecznych zawierających azbest.</a:t>
          </a:r>
          <a:endParaRPr lang="pl-PL" sz="1050" b="0" i="0">
            <a:latin typeface="Arial" pitchFamily="34" charset="0"/>
            <a:ea typeface="+mn-ea"/>
            <a:cs typeface="Arial" pitchFamily="34" charset="0"/>
          </a:endParaRPr>
        </a:p>
      </dgm:t>
    </dgm:pt>
    <dgm:pt modelId="{B860A172-B489-4986-AF7E-6E6ACB4AA979}" type="parTrans" cxnId="{8DAE8F73-7D1D-4B33-9F1A-DAF26CCC1844}">
      <dgm:prSet/>
      <dgm:spPr/>
      <dgm:t>
        <a:bodyPr/>
        <a:lstStyle/>
        <a:p>
          <a:endParaRPr lang="pl-PL"/>
        </a:p>
      </dgm:t>
    </dgm:pt>
    <dgm:pt modelId="{26DC35CF-B436-4222-B939-C024BDF2595B}" type="sibTrans" cxnId="{8DAE8F73-7D1D-4B33-9F1A-DAF26CCC1844}">
      <dgm:prSet/>
      <dgm:spPr/>
      <dgm:t>
        <a:bodyPr/>
        <a:lstStyle/>
        <a:p>
          <a:endParaRPr lang="pl-PL"/>
        </a:p>
      </dgm:t>
    </dgm:pt>
    <dgm:pt modelId="{031F6B34-B517-4066-A1CD-702AC52257AE}">
      <dgm:prSet phldrT="[Tekst]" custT="1"/>
      <dgm:spPr>
        <a:xfrm>
          <a:off x="329" y="4563345"/>
          <a:ext cx="2495615" cy="1445804"/>
        </a:xfrm>
      </dgm:spPr>
      <dgm:t>
        <a:bodyPr/>
        <a:lstStyle/>
        <a:p>
          <a:pPr algn="just"/>
          <a:r>
            <a:rPr lang="pl-PL" sz="1100" b="1" i="1">
              <a:latin typeface="Arial" pitchFamily="34" charset="0"/>
              <a:ea typeface="+mn-ea"/>
              <a:cs typeface="Arial" pitchFamily="34" charset="0"/>
            </a:rPr>
            <a:t>Grupa IV.                           </a:t>
          </a:r>
        </a:p>
        <a:p>
          <a:pPr algn="just"/>
          <a:r>
            <a:rPr lang="pl-PL" sz="1100" b="1" i="1">
              <a:latin typeface="Arial" pitchFamily="34" charset="0"/>
              <a:ea typeface="+mn-ea"/>
              <a:cs typeface="Arial" pitchFamily="34" charset="0"/>
            </a:rPr>
            <a:t> </a:t>
          </a:r>
          <a:r>
            <a:rPr lang="pl-PL" sz="1100" b="0" i="0">
              <a:latin typeface="Arial" pitchFamily="34" charset="0"/>
              <a:ea typeface="+mn-ea"/>
              <a:cs typeface="Arial" pitchFamily="34" charset="0"/>
            </a:rPr>
            <a:t>Procedura obowiązująca zarządzających składowiskami odpadów niebezpiecznych zawierających azbest.</a:t>
          </a:r>
        </a:p>
      </dgm:t>
    </dgm:pt>
    <dgm:pt modelId="{AED840E9-22B3-4D31-8011-DFDC9D1B6EA2}" type="parTrans" cxnId="{79F95896-413E-48EA-A947-1A2484079D6E}">
      <dgm:prSet/>
      <dgm:spPr/>
      <dgm:t>
        <a:bodyPr/>
        <a:lstStyle/>
        <a:p>
          <a:endParaRPr lang="pl-PL"/>
        </a:p>
      </dgm:t>
    </dgm:pt>
    <dgm:pt modelId="{EDA5C078-2F2F-4FD3-AD3A-0FA1A1BC9DAF}" type="sibTrans" cxnId="{79F95896-413E-48EA-A947-1A2484079D6E}">
      <dgm:prSet/>
      <dgm:spPr/>
      <dgm:t>
        <a:bodyPr/>
        <a:lstStyle/>
        <a:p>
          <a:endParaRPr lang="pl-PL"/>
        </a:p>
      </dgm:t>
    </dgm:pt>
    <dgm:pt modelId="{8601CD2D-F2E4-48B7-ABBA-443B49267B21}">
      <dgm:prSet phldrT="[Tekst]" custT="1"/>
      <dgm:spPr>
        <a:xfrm rot="5400000">
          <a:off x="3564315" y="3639555"/>
          <a:ext cx="1156643" cy="3293384"/>
        </a:xfrm>
      </dgm:spPr>
      <dgm:t>
        <a:bodyPr/>
        <a:lstStyle/>
        <a:p>
          <a:pPr algn="just"/>
          <a:r>
            <a:rPr lang="pl-PL" sz="1100" b="1">
              <a:latin typeface="Arial" pitchFamily="34" charset="0"/>
              <a:ea typeface="+mn-ea"/>
              <a:cs typeface="Arial" pitchFamily="34" charset="0"/>
            </a:rPr>
            <a:t>Procedura 6.</a:t>
          </a:r>
          <a:r>
            <a:rPr lang="pl-PL" sz="1100">
              <a:latin typeface="Arial" pitchFamily="34" charset="0"/>
              <a:ea typeface="+mn-ea"/>
              <a:cs typeface="Arial" pitchFamily="34" charset="0"/>
            </a:rPr>
            <a:t>  Składowanie odpadów na składowiskach lub wydzielonych kwaterach przeznaczonych do wyłącznego składowania odpadów zawierających azbest.</a:t>
          </a:r>
          <a:endParaRPr lang="pl-PL" sz="1100" b="0" i="0">
            <a:latin typeface="Arial" pitchFamily="34" charset="0"/>
            <a:ea typeface="+mn-ea"/>
            <a:cs typeface="Arial" pitchFamily="34" charset="0"/>
          </a:endParaRPr>
        </a:p>
      </dgm:t>
    </dgm:pt>
    <dgm:pt modelId="{9683610B-2092-43E8-BB70-F3A11FFCBE2E}" type="parTrans" cxnId="{DE98179C-F1A9-4AC1-9988-63D3FF2D654D}">
      <dgm:prSet/>
      <dgm:spPr/>
      <dgm:t>
        <a:bodyPr/>
        <a:lstStyle/>
        <a:p>
          <a:endParaRPr lang="pl-PL"/>
        </a:p>
      </dgm:t>
    </dgm:pt>
    <dgm:pt modelId="{17609CC5-15B7-4B7D-BE32-2E45689BDB1C}" type="sibTrans" cxnId="{DE98179C-F1A9-4AC1-9988-63D3FF2D654D}">
      <dgm:prSet/>
      <dgm:spPr/>
      <dgm:t>
        <a:bodyPr/>
        <a:lstStyle/>
        <a:p>
          <a:endParaRPr lang="pl-PL"/>
        </a:p>
      </dgm:t>
    </dgm:pt>
    <dgm:pt modelId="{DAD311F4-07BC-4DE8-99B6-32630FEB2CA4}" type="pres">
      <dgm:prSet presAssocID="{FB0CDE53-9695-4168-ACBC-CF401D17EBA1}" presName="linear" presStyleCnt="0">
        <dgm:presLayoutVars>
          <dgm:dir/>
          <dgm:animLvl val="lvl"/>
          <dgm:resizeHandles val="exact"/>
        </dgm:presLayoutVars>
      </dgm:prSet>
      <dgm:spPr/>
    </dgm:pt>
    <dgm:pt modelId="{CD9C2154-3E47-4288-8A28-D3B47FB9B39B}" type="pres">
      <dgm:prSet presAssocID="{F489F050-D1D9-4385-ACD0-C35D0542F595}" presName="parentLin" presStyleCnt="0"/>
      <dgm:spPr/>
    </dgm:pt>
    <dgm:pt modelId="{CFC5B330-1340-4E14-8283-675BFC6C395A}" type="pres">
      <dgm:prSet presAssocID="{F489F050-D1D9-4385-ACD0-C35D0542F595}" presName="parentLeftMargin" presStyleLbl="node1" presStyleIdx="0" presStyleCnt="4"/>
      <dgm:spPr/>
    </dgm:pt>
    <dgm:pt modelId="{C800306F-E218-48E6-BFFD-11161E1DDC75}" type="pres">
      <dgm:prSet presAssocID="{F489F050-D1D9-4385-ACD0-C35D0542F595}" presName="parentText" presStyleLbl="node1" presStyleIdx="0" presStyleCnt="4">
        <dgm:presLayoutVars>
          <dgm:chMax val="0"/>
          <dgm:bulletEnabled val="1"/>
        </dgm:presLayoutVars>
      </dgm:prSet>
      <dgm:spPr/>
    </dgm:pt>
    <dgm:pt modelId="{D21B336C-1D94-42B6-93A5-C46041C69676}" type="pres">
      <dgm:prSet presAssocID="{F489F050-D1D9-4385-ACD0-C35D0542F595}" presName="negativeSpace" presStyleCnt="0"/>
      <dgm:spPr/>
    </dgm:pt>
    <dgm:pt modelId="{F119D009-F045-4EAE-99E7-52DA6D88B802}" type="pres">
      <dgm:prSet presAssocID="{F489F050-D1D9-4385-ACD0-C35D0542F595}" presName="childText" presStyleLbl="conFgAcc1" presStyleIdx="0" presStyleCnt="4">
        <dgm:presLayoutVars>
          <dgm:bulletEnabled val="1"/>
        </dgm:presLayoutVars>
      </dgm:prSet>
      <dgm:spPr/>
    </dgm:pt>
    <dgm:pt modelId="{0B5BC9DC-BE60-45C5-8A82-87A430931B3F}" type="pres">
      <dgm:prSet presAssocID="{F8C4D4E7-A8B3-4303-BC20-3D855361B8B9}" presName="spaceBetweenRectangles" presStyleCnt="0"/>
      <dgm:spPr/>
    </dgm:pt>
    <dgm:pt modelId="{3606EBC8-F3FF-494F-99AC-D29E93E64EC0}" type="pres">
      <dgm:prSet presAssocID="{CE235D07-3422-41EB-82FF-60C16B9D8B71}" presName="parentLin" presStyleCnt="0"/>
      <dgm:spPr/>
    </dgm:pt>
    <dgm:pt modelId="{E31199DE-0A77-49D0-84DB-6401ECC4213E}" type="pres">
      <dgm:prSet presAssocID="{CE235D07-3422-41EB-82FF-60C16B9D8B71}" presName="parentLeftMargin" presStyleLbl="node1" presStyleIdx="0" presStyleCnt="4"/>
      <dgm:spPr/>
    </dgm:pt>
    <dgm:pt modelId="{A7154510-8BCC-4ED0-98EF-449BDB0AB2D5}" type="pres">
      <dgm:prSet presAssocID="{CE235D07-3422-41EB-82FF-60C16B9D8B71}" presName="parentText" presStyleLbl="node1" presStyleIdx="1" presStyleCnt="4">
        <dgm:presLayoutVars>
          <dgm:chMax val="0"/>
          <dgm:bulletEnabled val="1"/>
        </dgm:presLayoutVars>
      </dgm:prSet>
      <dgm:spPr/>
    </dgm:pt>
    <dgm:pt modelId="{7A83DE95-876B-4259-AE2D-D51D50DF5EF2}" type="pres">
      <dgm:prSet presAssocID="{CE235D07-3422-41EB-82FF-60C16B9D8B71}" presName="negativeSpace" presStyleCnt="0"/>
      <dgm:spPr/>
    </dgm:pt>
    <dgm:pt modelId="{B0EB2A56-3ABF-4EB9-A726-5A585B556EE8}" type="pres">
      <dgm:prSet presAssocID="{CE235D07-3422-41EB-82FF-60C16B9D8B71}" presName="childText" presStyleLbl="conFgAcc1" presStyleIdx="1" presStyleCnt="4">
        <dgm:presLayoutVars>
          <dgm:bulletEnabled val="1"/>
        </dgm:presLayoutVars>
      </dgm:prSet>
      <dgm:spPr/>
    </dgm:pt>
    <dgm:pt modelId="{426D3E54-F03A-4E95-8191-24D5BFD8B5C6}" type="pres">
      <dgm:prSet presAssocID="{04C3085A-ECFA-442D-A057-7304EB5FAD9D}" presName="spaceBetweenRectangles" presStyleCnt="0"/>
      <dgm:spPr/>
    </dgm:pt>
    <dgm:pt modelId="{C6B52382-BF3C-4B09-B5A7-5C91802C54DA}" type="pres">
      <dgm:prSet presAssocID="{FBD4262D-6568-4685-8B88-8894683BABF0}" presName="parentLin" presStyleCnt="0"/>
      <dgm:spPr/>
    </dgm:pt>
    <dgm:pt modelId="{DF71613F-E847-44F9-B838-1867C64C434E}" type="pres">
      <dgm:prSet presAssocID="{FBD4262D-6568-4685-8B88-8894683BABF0}" presName="parentLeftMargin" presStyleLbl="node1" presStyleIdx="1" presStyleCnt="4"/>
      <dgm:spPr/>
    </dgm:pt>
    <dgm:pt modelId="{6ADCC770-0D95-4781-9DD8-088B29161600}" type="pres">
      <dgm:prSet presAssocID="{FBD4262D-6568-4685-8B88-8894683BABF0}" presName="parentText" presStyleLbl="node1" presStyleIdx="2" presStyleCnt="4">
        <dgm:presLayoutVars>
          <dgm:chMax val="0"/>
          <dgm:bulletEnabled val="1"/>
        </dgm:presLayoutVars>
      </dgm:prSet>
      <dgm:spPr/>
    </dgm:pt>
    <dgm:pt modelId="{B1980583-5A75-4BC8-A91D-2EDB6E0A5833}" type="pres">
      <dgm:prSet presAssocID="{FBD4262D-6568-4685-8B88-8894683BABF0}" presName="negativeSpace" presStyleCnt="0"/>
      <dgm:spPr/>
    </dgm:pt>
    <dgm:pt modelId="{3D4EDEA3-046C-48AD-BE19-113B345456B9}" type="pres">
      <dgm:prSet presAssocID="{FBD4262D-6568-4685-8B88-8894683BABF0}" presName="childText" presStyleLbl="conFgAcc1" presStyleIdx="2" presStyleCnt="4">
        <dgm:presLayoutVars>
          <dgm:bulletEnabled val="1"/>
        </dgm:presLayoutVars>
      </dgm:prSet>
      <dgm:spPr/>
    </dgm:pt>
    <dgm:pt modelId="{5EF9F351-0231-4197-984D-A15B0DBBD441}" type="pres">
      <dgm:prSet presAssocID="{88EEA6D1-4744-42D5-813F-3033323C1035}" presName="spaceBetweenRectangles" presStyleCnt="0"/>
      <dgm:spPr/>
    </dgm:pt>
    <dgm:pt modelId="{A90105E7-6F68-457E-B2FB-6EAA091257EB}" type="pres">
      <dgm:prSet presAssocID="{031F6B34-B517-4066-A1CD-702AC52257AE}" presName="parentLin" presStyleCnt="0"/>
      <dgm:spPr/>
    </dgm:pt>
    <dgm:pt modelId="{D37E9F4C-BFB1-4988-805C-6A10862DA207}" type="pres">
      <dgm:prSet presAssocID="{031F6B34-B517-4066-A1CD-702AC52257AE}" presName="parentLeftMargin" presStyleLbl="node1" presStyleIdx="2" presStyleCnt="4"/>
      <dgm:spPr/>
    </dgm:pt>
    <dgm:pt modelId="{59D2CE6C-4243-4566-8A27-5417811C8E3F}" type="pres">
      <dgm:prSet presAssocID="{031F6B34-B517-4066-A1CD-702AC52257AE}" presName="parentText" presStyleLbl="node1" presStyleIdx="3" presStyleCnt="4">
        <dgm:presLayoutVars>
          <dgm:chMax val="0"/>
          <dgm:bulletEnabled val="1"/>
        </dgm:presLayoutVars>
      </dgm:prSet>
      <dgm:spPr/>
    </dgm:pt>
    <dgm:pt modelId="{E9E6BD72-EA14-4824-BDD7-BD370772787F}" type="pres">
      <dgm:prSet presAssocID="{031F6B34-B517-4066-A1CD-702AC52257AE}" presName="negativeSpace" presStyleCnt="0"/>
      <dgm:spPr/>
    </dgm:pt>
    <dgm:pt modelId="{73F62A08-0663-4563-99D9-87C47DC270C4}" type="pres">
      <dgm:prSet presAssocID="{031F6B34-B517-4066-A1CD-702AC52257AE}" presName="childText" presStyleLbl="conFgAcc1" presStyleIdx="3" presStyleCnt="4">
        <dgm:presLayoutVars>
          <dgm:bulletEnabled val="1"/>
        </dgm:presLayoutVars>
      </dgm:prSet>
      <dgm:spPr/>
    </dgm:pt>
  </dgm:ptLst>
  <dgm:cxnLst>
    <dgm:cxn modelId="{E01E6509-7C03-4763-9BBA-7DA9CF56A7A6}" type="presOf" srcId="{F489F050-D1D9-4385-ACD0-C35D0542F595}" destId="{CFC5B330-1340-4E14-8283-675BFC6C395A}" srcOrd="0" destOrd="0" presId="urn:microsoft.com/office/officeart/2005/8/layout/list1"/>
    <dgm:cxn modelId="{45050E10-A16C-486C-92B7-1CE11E36D162}" srcId="{F489F050-D1D9-4385-ACD0-C35D0542F595}" destId="{68DD54B2-8A0B-4A50-A95A-27ADBAEF2912}" srcOrd="0" destOrd="0" parTransId="{4698F3AC-5B83-409B-8A51-3AB5B34D969C}" sibTransId="{C4EB6476-2AB8-4AB5-B6B9-A60C9A15E909}"/>
    <dgm:cxn modelId="{64E95717-9348-4B6F-B00C-90D680A4A2C9}" type="presOf" srcId="{B0F40893-B7D0-49B2-B839-255653DA962D}" destId="{B0EB2A56-3ABF-4EB9-A726-5A585B556EE8}" srcOrd="0" destOrd="0" presId="urn:microsoft.com/office/officeart/2005/8/layout/list1"/>
    <dgm:cxn modelId="{D8A18318-3D9C-4F08-A839-D5FC5BBDE8B7}" srcId="{FB0CDE53-9695-4168-ACBC-CF401D17EBA1}" destId="{F489F050-D1D9-4385-ACD0-C35D0542F595}" srcOrd="0" destOrd="0" parTransId="{DEFB369E-D26A-4DA6-82B2-23B56275368C}" sibTransId="{F8C4D4E7-A8B3-4303-BC20-3D855361B8B9}"/>
    <dgm:cxn modelId="{0CD1E231-E884-49E4-AD44-C352EA959A18}" srcId="{FB0CDE53-9695-4168-ACBC-CF401D17EBA1}" destId="{CE235D07-3422-41EB-82FF-60C16B9D8B71}" srcOrd="1" destOrd="0" parTransId="{BB4791D9-D199-47A2-8FC3-A75E61A2F23A}" sibTransId="{04C3085A-ECFA-442D-A057-7304EB5FAD9D}"/>
    <dgm:cxn modelId="{4D02426A-55E4-4ED3-890E-86647E2F5CE8}" type="presOf" srcId="{68DD54B2-8A0B-4A50-A95A-27ADBAEF2912}" destId="{F119D009-F045-4EAE-99E7-52DA6D88B802}" srcOrd="0" destOrd="0" presId="urn:microsoft.com/office/officeart/2005/8/layout/list1"/>
    <dgm:cxn modelId="{F37DF86D-CA64-4392-8AA9-109D6F8784C1}" srcId="{F489F050-D1D9-4385-ACD0-C35D0542F595}" destId="{8CAA792C-EFB6-4B2E-83A6-2C1116005A3B}" srcOrd="1" destOrd="0" parTransId="{3AEEABEE-1808-474B-AAFF-C1AF5F3C6F6D}" sibTransId="{27940C59-E60C-414A-A08A-94C84C081BC2}"/>
    <dgm:cxn modelId="{8DAE8F73-7D1D-4B33-9F1A-DAF26CCC1844}" srcId="{FBD4262D-6568-4685-8B88-8894683BABF0}" destId="{DDB33B30-414F-404C-837D-4CB31A7F9649}" srcOrd="0" destOrd="0" parTransId="{B860A172-B489-4986-AF7E-6E6ACB4AA979}" sibTransId="{26DC35CF-B436-4222-B939-C024BDF2595B}"/>
    <dgm:cxn modelId="{967AF958-F5AB-4AD3-8403-BCCF1B609B57}" srcId="{CE235D07-3422-41EB-82FF-60C16B9D8B71}" destId="{B0F40893-B7D0-49B2-B839-255653DA962D}" srcOrd="0" destOrd="0" parTransId="{297FB4FE-DEC0-4D6B-95D7-8DB51A0D44FD}" sibTransId="{9FCD3A5F-4A96-48B1-96CA-070226845905}"/>
    <dgm:cxn modelId="{A1B5C57E-8162-4018-955A-AE6D524875C7}" type="presOf" srcId="{8601CD2D-F2E4-48B7-ABBA-443B49267B21}" destId="{73F62A08-0663-4563-99D9-87C47DC270C4}" srcOrd="0" destOrd="0" presId="urn:microsoft.com/office/officeart/2005/8/layout/list1"/>
    <dgm:cxn modelId="{DD6A6885-B15A-433D-A57B-5C8EE0098B56}" type="presOf" srcId="{CE235D07-3422-41EB-82FF-60C16B9D8B71}" destId="{E31199DE-0A77-49D0-84DB-6401ECC4213E}" srcOrd="0" destOrd="0" presId="urn:microsoft.com/office/officeart/2005/8/layout/list1"/>
    <dgm:cxn modelId="{7DE66788-1F3A-4E7A-90C8-201B1720165E}" type="presOf" srcId="{FBD4262D-6568-4685-8B88-8894683BABF0}" destId="{DF71613F-E847-44F9-B838-1867C64C434E}" srcOrd="0" destOrd="0" presId="urn:microsoft.com/office/officeart/2005/8/layout/list1"/>
    <dgm:cxn modelId="{4FC3458B-601C-4209-A3DD-AC942470CE47}" type="presOf" srcId="{F489F050-D1D9-4385-ACD0-C35D0542F595}" destId="{C800306F-E218-48E6-BFFD-11161E1DDC75}" srcOrd="1" destOrd="0" presId="urn:microsoft.com/office/officeart/2005/8/layout/list1"/>
    <dgm:cxn modelId="{EAF38B8C-6A26-4A74-87B1-0FD4E8626704}" type="presOf" srcId="{031F6B34-B517-4066-A1CD-702AC52257AE}" destId="{D37E9F4C-BFB1-4988-805C-6A10862DA207}" srcOrd="0" destOrd="0" presId="urn:microsoft.com/office/officeart/2005/8/layout/list1"/>
    <dgm:cxn modelId="{79F95896-413E-48EA-A947-1A2484079D6E}" srcId="{FB0CDE53-9695-4168-ACBC-CF401D17EBA1}" destId="{031F6B34-B517-4066-A1CD-702AC52257AE}" srcOrd="3" destOrd="0" parTransId="{AED840E9-22B3-4D31-8011-DFDC9D1B6EA2}" sibTransId="{EDA5C078-2F2F-4FD3-AD3A-0FA1A1BC9DAF}"/>
    <dgm:cxn modelId="{DE98179C-F1A9-4AC1-9988-63D3FF2D654D}" srcId="{031F6B34-B517-4066-A1CD-702AC52257AE}" destId="{8601CD2D-F2E4-48B7-ABBA-443B49267B21}" srcOrd="0" destOrd="0" parTransId="{9683610B-2092-43E8-BB70-F3A11FFCBE2E}" sibTransId="{17609CC5-15B7-4B7D-BE32-2E45689BDB1C}"/>
    <dgm:cxn modelId="{247371A0-0B86-4D4D-BA6B-FA94CB54881E}" type="presOf" srcId="{2383700B-92E0-4C30-B30D-D7B83289B0C5}" destId="{B0EB2A56-3ABF-4EB9-A726-5A585B556EE8}" srcOrd="0" destOrd="1" presId="urn:microsoft.com/office/officeart/2005/8/layout/list1"/>
    <dgm:cxn modelId="{C6D5CCA4-1352-4906-BFFB-09FD2B272313}" type="presOf" srcId="{FB0CDE53-9695-4168-ACBC-CF401D17EBA1}" destId="{DAD311F4-07BC-4DE8-99B6-32630FEB2CA4}" srcOrd="0" destOrd="0" presId="urn:microsoft.com/office/officeart/2005/8/layout/list1"/>
    <dgm:cxn modelId="{AC9DBFBC-B538-43EB-8600-592ACCDE254C}" type="presOf" srcId="{031F6B34-B517-4066-A1CD-702AC52257AE}" destId="{59D2CE6C-4243-4566-8A27-5417811C8E3F}" srcOrd="1" destOrd="0" presId="urn:microsoft.com/office/officeart/2005/8/layout/list1"/>
    <dgm:cxn modelId="{38B674C5-B377-47B5-B1E7-8D52C56A22E5}" type="presOf" srcId="{8CAA792C-EFB6-4B2E-83A6-2C1116005A3B}" destId="{F119D009-F045-4EAE-99E7-52DA6D88B802}" srcOrd="0" destOrd="1" presId="urn:microsoft.com/office/officeart/2005/8/layout/list1"/>
    <dgm:cxn modelId="{7C45AECE-5CF7-4671-AD08-8844BA4559D3}" type="presOf" srcId="{DDB33B30-414F-404C-837D-4CB31A7F9649}" destId="{3D4EDEA3-046C-48AD-BE19-113B345456B9}" srcOrd="0" destOrd="0" presId="urn:microsoft.com/office/officeart/2005/8/layout/list1"/>
    <dgm:cxn modelId="{A50CF8D5-5926-469E-B2EB-670EE8CF4EB5}" srcId="{CE235D07-3422-41EB-82FF-60C16B9D8B71}" destId="{2383700B-92E0-4C30-B30D-D7B83289B0C5}" srcOrd="1" destOrd="0" parTransId="{F0E7E7F3-7F97-47E1-BEC3-291A30D0ED57}" sibTransId="{43BAC179-405B-4B86-973D-A75FAAEAD841}"/>
    <dgm:cxn modelId="{8A2D22D8-AB04-447E-B699-E5912994298C}" type="presOf" srcId="{FBD4262D-6568-4685-8B88-8894683BABF0}" destId="{6ADCC770-0D95-4781-9DD8-088B29161600}" srcOrd="1" destOrd="0" presId="urn:microsoft.com/office/officeart/2005/8/layout/list1"/>
    <dgm:cxn modelId="{B76D2CDE-4233-4769-8FDD-1298B350D898}" srcId="{FB0CDE53-9695-4168-ACBC-CF401D17EBA1}" destId="{FBD4262D-6568-4685-8B88-8894683BABF0}" srcOrd="2" destOrd="0" parTransId="{C39F25E4-16A3-4BA2-942D-C8FE22335663}" sibTransId="{88EEA6D1-4744-42D5-813F-3033323C1035}"/>
    <dgm:cxn modelId="{AC91DEF7-A85E-493B-8E7F-F69DC28E4DA2}" type="presOf" srcId="{CE235D07-3422-41EB-82FF-60C16B9D8B71}" destId="{A7154510-8BCC-4ED0-98EF-449BDB0AB2D5}" srcOrd="1" destOrd="0" presId="urn:microsoft.com/office/officeart/2005/8/layout/list1"/>
    <dgm:cxn modelId="{40045C47-F3AE-4A2E-8EE2-A4CAFF786352}" type="presParOf" srcId="{DAD311F4-07BC-4DE8-99B6-32630FEB2CA4}" destId="{CD9C2154-3E47-4288-8A28-D3B47FB9B39B}" srcOrd="0" destOrd="0" presId="urn:microsoft.com/office/officeart/2005/8/layout/list1"/>
    <dgm:cxn modelId="{17BEF71C-78C6-4EC3-8A4D-BB0EA46F255C}" type="presParOf" srcId="{CD9C2154-3E47-4288-8A28-D3B47FB9B39B}" destId="{CFC5B330-1340-4E14-8283-675BFC6C395A}" srcOrd="0" destOrd="0" presId="urn:microsoft.com/office/officeart/2005/8/layout/list1"/>
    <dgm:cxn modelId="{82A70899-600B-4525-AD3C-6E0F09FC0207}" type="presParOf" srcId="{CD9C2154-3E47-4288-8A28-D3B47FB9B39B}" destId="{C800306F-E218-48E6-BFFD-11161E1DDC75}" srcOrd="1" destOrd="0" presId="urn:microsoft.com/office/officeart/2005/8/layout/list1"/>
    <dgm:cxn modelId="{02D5C2A6-E080-443A-8B7A-E19B015AB14F}" type="presParOf" srcId="{DAD311F4-07BC-4DE8-99B6-32630FEB2CA4}" destId="{D21B336C-1D94-42B6-93A5-C46041C69676}" srcOrd="1" destOrd="0" presId="urn:microsoft.com/office/officeart/2005/8/layout/list1"/>
    <dgm:cxn modelId="{855E8B4C-477C-45D8-A9AE-4C3185F1685A}" type="presParOf" srcId="{DAD311F4-07BC-4DE8-99B6-32630FEB2CA4}" destId="{F119D009-F045-4EAE-99E7-52DA6D88B802}" srcOrd="2" destOrd="0" presId="urn:microsoft.com/office/officeart/2005/8/layout/list1"/>
    <dgm:cxn modelId="{20AC4085-76C9-41C7-AC47-7CFE104B6C14}" type="presParOf" srcId="{DAD311F4-07BC-4DE8-99B6-32630FEB2CA4}" destId="{0B5BC9DC-BE60-45C5-8A82-87A430931B3F}" srcOrd="3" destOrd="0" presId="urn:microsoft.com/office/officeart/2005/8/layout/list1"/>
    <dgm:cxn modelId="{47E472AF-6E7C-4641-9B5C-CF6788D42BF6}" type="presParOf" srcId="{DAD311F4-07BC-4DE8-99B6-32630FEB2CA4}" destId="{3606EBC8-F3FF-494F-99AC-D29E93E64EC0}" srcOrd="4" destOrd="0" presId="urn:microsoft.com/office/officeart/2005/8/layout/list1"/>
    <dgm:cxn modelId="{319074F2-FBCF-49C2-AAF6-5C715DFA6991}" type="presParOf" srcId="{3606EBC8-F3FF-494F-99AC-D29E93E64EC0}" destId="{E31199DE-0A77-49D0-84DB-6401ECC4213E}" srcOrd="0" destOrd="0" presId="urn:microsoft.com/office/officeart/2005/8/layout/list1"/>
    <dgm:cxn modelId="{72A04872-3B80-4185-91F1-249BF145BB84}" type="presParOf" srcId="{3606EBC8-F3FF-494F-99AC-D29E93E64EC0}" destId="{A7154510-8BCC-4ED0-98EF-449BDB0AB2D5}" srcOrd="1" destOrd="0" presId="urn:microsoft.com/office/officeart/2005/8/layout/list1"/>
    <dgm:cxn modelId="{C315E296-01FB-4AAA-841D-EF7E43897E7E}" type="presParOf" srcId="{DAD311F4-07BC-4DE8-99B6-32630FEB2CA4}" destId="{7A83DE95-876B-4259-AE2D-D51D50DF5EF2}" srcOrd="5" destOrd="0" presId="urn:microsoft.com/office/officeart/2005/8/layout/list1"/>
    <dgm:cxn modelId="{F8D5A335-A7D9-4BAB-AC39-6607B6716D0D}" type="presParOf" srcId="{DAD311F4-07BC-4DE8-99B6-32630FEB2CA4}" destId="{B0EB2A56-3ABF-4EB9-A726-5A585B556EE8}" srcOrd="6" destOrd="0" presId="urn:microsoft.com/office/officeart/2005/8/layout/list1"/>
    <dgm:cxn modelId="{A69E01EC-F3A9-4E0A-A36D-4840E8E03749}" type="presParOf" srcId="{DAD311F4-07BC-4DE8-99B6-32630FEB2CA4}" destId="{426D3E54-F03A-4E95-8191-24D5BFD8B5C6}" srcOrd="7" destOrd="0" presId="urn:microsoft.com/office/officeart/2005/8/layout/list1"/>
    <dgm:cxn modelId="{E899542A-6A60-4AAC-A3D9-EB199ACEFD75}" type="presParOf" srcId="{DAD311F4-07BC-4DE8-99B6-32630FEB2CA4}" destId="{C6B52382-BF3C-4B09-B5A7-5C91802C54DA}" srcOrd="8" destOrd="0" presId="urn:microsoft.com/office/officeart/2005/8/layout/list1"/>
    <dgm:cxn modelId="{BDFCC6C4-073F-4C46-ABAC-41BDC76C6EE5}" type="presParOf" srcId="{C6B52382-BF3C-4B09-B5A7-5C91802C54DA}" destId="{DF71613F-E847-44F9-B838-1867C64C434E}" srcOrd="0" destOrd="0" presId="urn:microsoft.com/office/officeart/2005/8/layout/list1"/>
    <dgm:cxn modelId="{F48C90D1-E77D-4CC5-A63B-ADA4A8B6D423}" type="presParOf" srcId="{C6B52382-BF3C-4B09-B5A7-5C91802C54DA}" destId="{6ADCC770-0D95-4781-9DD8-088B29161600}" srcOrd="1" destOrd="0" presId="urn:microsoft.com/office/officeart/2005/8/layout/list1"/>
    <dgm:cxn modelId="{92457F81-390A-4D15-9C91-303D9011061F}" type="presParOf" srcId="{DAD311F4-07BC-4DE8-99B6-32630FEB2CA4}" destId="{B1980583-5A75-4BC8-A91D-2EDB6E0A5833}" srcOrd="9" destOrd="0" presId="urn:microsoft.com/office/officeart/2005/8/layout/list1"/>
    <dgm:cxn modelId="{D924F2C1-88E8-4B34-976C-09BF47481EAF}" type="presParOf" srcId="{DAD311F4-07BC-4DE8-99B6-32630FEB2CA4}" destId="{3D4EDEA3-046C-48AD-BE19-113B345456B9}" srcOrd="10" destOrd="0" presId="urn:microsoft.com/office/officeart/2005/8/layout/list1"/>
    <dgm:cxn modelId="{ECD36F80-7641-4340-8692-6D367BBA4722}" type="presParOf" srcId="{DAD311F4-07BC-4DE8-99B6-32630FEB2CA4}" destId="{5EF9F351-0231-4197-984D-A15B0DBBD441}" srcOrd="11" destOrd="0" presId="urn:microsoft.com/office/officeart/2005/8/layout/list1"/>
    <dgm:cxn modelId="{B7B249F9-4DE5-4404-9226-F0EC75376F21}" type="presParOf" srcId="{DAD311F4-07BC-4DE8-99B6-32630FEB2CA4}" destId="{A90105E7-6F68-457E-B2FB-6EAA091257EB}" srcOrd="12" destOrd="0" presId="urn:microsoft.com/office/officeart/2005/8/layout/list1"/>
    <dgm:cxn modelId="{CD3A1E51-9075-484E-BDD2-45CEEDD3795F}" type="presParOf" srcId="{A90105E7-6F68-457E-B2FB-6EAA091257EB}" destId="{D37E9F4C-BFB1-4988-805C-6A10862DA207}" srcOrd="0" destOrd="0" presId="urn:microsoft.com/office/officeart/2005/8/layout/list1"/>
    <dgm:cxn modelId="{0232BA94-AC04-4D65-BDD9-A47336CAFD25}" type="presParOf" srcId="{A90105E7-6F68-457E-B2FB-6EAA091257EB}" destId="{59D2CE6C-4243-4566-8A27-5417811C8E3F}" srcOrd="1" destOrd="0" presId="urn:microsoft.com/office/officeart/2005/8/layout/list1"/>
    <dgm:cxn modelId="{F6839214-9A10-4D77-ACED-A893EB0C2D25}" type="presParOf" srcId="{DAD311F4-07BC-4DE8-99B6-32630FEB2CA4}" destId="{E9E6BD72-EA14-4824-BDD7-BD370772787F}" srcOrd="13" destOrd="0" presId="urn:microsoft.com/office/officeart/2005/8/layout/list1"/>
    <dgm:cxn modelId="{4B387253-81BF-40EE-A834-E6C42573FBB2}" type="presParOf" srcId="{DAD311F4-07BC-4DE8-99B6-32630FEB2CA4}" destId="{73F62A08-0663-4563-99D9-87C47DC270C4}" srcOrd="14" destOrd="0" presId="urn:microsoft.com/office/officeart/2005/8/layout/list1"/>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290941DE-A1DB-46F1-B03D-0105B16E5B2F}" type="doc">
      <dgm:prSet loTypeId="urn:microsoft.com/office/officeart/2005/8/layout/bProcess3" loCatId="process" qsTypeId="urn:microsoft.com/office/officeart/2005/8/quickstyle/simple5" qsCatId="simple" csTypeId="urn:microsoft.com/office/officeart/2005/8/colors/colorful1#2" csCatId="colorful" phldr="1"/>
      <dgm:spPr/>
      <dgm:t>
        <a:bodyPr/>
        <a:lstStyle/>
        <a:p>
          <a:endParaRPr lang="pl-PL"/>
        </a:p>
      </dgm:t>
    </dgm:pt>
    <dgm:pt modelId="{5C412DE9-7057-441A-8C91-C41600E9B5F3}">
      <dgm:prSet phldrT="[Tekst]"/>
      <dgm:spPr/>
      <dgm:t>
        <a:bodyPr/>
        <a:lstStyle/>
        <a:p>
          <a:r>
            <a:rPr lang="pl-PL"/>
            <a:t>Przeprowadzenie inwentaryzacji wyrobów zawierających azbest.</a:t>
          </a:r>
        </a:p>
      </dgm:t>
    </dgm:pt>
    <dgm:pt modelId="{AE4E9A24-47BD-4690-AF30-14A690F1AA44}" type="parTrans" cxnId="{6F3BD7E1-087F-4CCA-8326-BB6937E70FD0}">
      <dgm:prSet/>
      <dgm:spPr/>
      <dgm:t>
        <a:bodyPr/>
        <a:lstStyle/>
        <a:p>
          <a:endParaRPr lang="pl-PL"/>
        </a:p>
      </dgm:t>
    </dgm:pt>
    <dgm:pt modelId="{81D96DCF-4228-41CA-82CC-25F433DE5C16}" type="sibTrans" cxnId="{6F3BD7E1-087F-4CCA-8326-BB6937E70FD0}">
      <dgm:prSet/>
      <dgm:spPr/>
      <dgm:t>
        <a:bodyPr/>
        <a:lstStyle/>
        <a:p>
          <a:endParaRPr lang="pl-PL"/>
        </a:p>
      </dgm:t>
    </dgm:pt>
    <dgm:pt modelId="{071E8585-3E73-4F0D-BF39-0D93A1C8C681}">
      <dgm:prSet/>
      <dgm:spPr/>
      <dgm:t>
        <a:bodyPr/>
        <a:lstStyle/>
        <a:p>
          <a:r>
            <a:rPr lang="pl-PL"/>
            <a:t>Sporządzenie „Oceny stanu i możliwości bezpiecznego użytkowania wyrobów zawierających azbest”.</a:t>
          </a:r>
        </a:p>
      </dgm:t>
    </dgm:pt>
    <dgm:pt modelId="{7AC14C30-0099-47E1-86F8-ED2E90365331}" type="parTrans" cxnId="{7C1CFE76-EF27-4A85-B534-16FD73608D80}">
      <dgm:prSet/>
      <dgm:spPr/>
      <dgm:t>
        <a:bodyPr/>
        <a:lstStyle/>
        <a:p>
          <a:endParaRPr lang="pl-PL"/>
        </a:p>
      </dgm:t>
    </dgm:pt>
    <dgm:pt modelId="{EA65DC71-A253-4079-98C2-1DB653F09656}" type="sibTrans" cxnId="{7C1CFE76-EF27-4A85-B534-16FD73608D80}">
      <dgm:prSet/>
      <dgm:spPr/>
      <dgm:t>
        <a:bodyPr/>
        <a:lstStyle/>
        <a:p>
          <a:endParaRPr lang="pl-PL"/>
        </a:p>
      </dgm:t>
    </dgm:pt>
    <dgm:pt modelId="{730312BD-7AA1-44B1-9D76-3184C5170F58}">
      <dgm:prSet/>
      <dgm:spPr/>
      <dgm:t>
        <a:bodyPr/>
        <a:lstStyle/>
        <a:p>
          <a:r>
            <a:rPr lang="pl-PL"/>
            <a:t>Sporządzenie informacji dla wójta/burmistrza/prezydenta – osoby fizyczne, dla marszałka         – osoby prawne (corocznie do 31 stycznia br.)</a:t>
          </a:r>
        </a:p>
      </dgm:t>
    </dgm:pt>
    <dgm:pt modelId="{5E4ED77C-2A43-4942-B176-8220DC4636DB}" type="parTrans" cxnId="{59CA9DA0-BC5F-4918-BA3C-B687A29D7964}">
      <dgm:prSet/>
      <dgm:spPr/>
      <dgm:t>
        <a:bodyPr/>
        <a:lstStyle/>
        <a:p>
          <a:endParaRPr lang="pl-PL"/>
        </a:p>
      </dgm:t>
    </dgm:pt>
    <dgm:pt modelId="{EF2340CE-7274-4A41-B3D9-9A9BE5A4D87A}" type="sibTrans" cxnId="{59CA9DA0-BC5F-4918-BA3C-B687A29D7964}">
      <dgm:prSet/>
      <dgm:spPr/>
      <dgm:t>
        <a:bodyPr/>
        <a:lstStyle/>
        <a:p>
          <a:endParaRPr lang="pl-PL"/>
        </a:p>
      </dgm:t>
    </dgm:pt>
    <dgm:pt modelId="{D1A96D63-6435-406B-AAA1-DD834F9590D2}">
      <dgm:prSet/>
      <dgm:spPr/>
      <dgm:t>
        <a:bodyPr/>
        <a:lstStyle/>
        <a:p>
          <a:r>
            <a:rPr lang="pl-PL"/>
            <a:t>Oznakowanie pomieszczeń, gdzie znajdują się urządzenia lub instalacje z wyrobami zawierającymi azbest</a:t>
          </a:r>
        </a:p>
      </dgm:t>
    </dgm:pt>
    <dgm:pt modelId="{228405FB-4401-4C81-B57D-8600070D4630}" type="parTrans" cxnId="{1186C356-AA4C-401E-8550-30DE1CA3654F}">
      <dgm:prSet/>
      <dgm:spPr/>
      <dgm:t>
        <a:bodyPr/>
        <a:lstStyle/>
        <a:p>
          <a:endParaRPr lang="pl-PL"/>
        </a:p>
      </dgm:t>
    </dgm:pt>
    <dgm:pt modelId="{5744942C-8D0E-483E-9230-67C39FF5413A}" type="sibTrans" cxnId="{1186C356-AA4C-401E-8550-30DE1CA3654F}">
      <dgm:prSet/>
      <dgm:spPr/>
      <dgm:t>
        <a:bodyPr/>
        <a:lstStyle/>
        <a:p>
          <a:endParaRPr lang="pl-PL"/>
        </a:p>
      </dgm:t>
    </dgm:pt>
    <dgm:pt modelId="{97E7E4CB-264A-47F5-9D3F-BEF3C635CA55}">
      <dgm:prSet/>
      <dgm:spPr/>
      <dgm:t>
        <a:bodyPr/>
        <a:lstStyle/>
        <a:p>
          <a:r>
            <a:rPr lang="pl-PL"/>
            <a:t>Opracowanie instrukcji bezpiecznego postępowania i użytkowania pomieszczenia z wyrobami zawierającymi azbest.</a:t>
          </a:r>
        </a:p>
      </dgm:t>
    </dgm:pt>
    <dgm:pt modelId="{B5D19227-9135-4581-85E6-AAF573DFE4D7}" type="parTrans" cxnId="{DAFD3C5F-6CD8-4525-AA25-E4DCD776657E}">
      <dgm:prSet/>
      <dgm:spPr/>
      <dgm:t>
        <a:bodyPr/>
        <a:lstStyle/>
        <a:p>
          <a:endParaRPr lang="pl-PL"/>
        </a:p>
      </dgm:t>
    </dgm:pt>
    <dgm:pt modelId="{1885901A-B0E5-44AD-9E93-8D0CB0A3F886}" type="sibTrans" cxnId="{DAFD3C5F-6CD8-4525-AA25-E4DCD776657E}">
      <dgm:prSet/>
      <dgm:spPr/>
      <dgm:t>
        <a:bodyPr/>
        <a:lstStyle/>
        <a:p>
          <a:endParaRPr lang="pl-PL"/>
        </a:p>
      </dgm:t>
    </dgm:pt>
    <dgm:pt modelId="{346326C9-5F68-4D88-957D-5F7F31C074C5}">
      <dgm:prSet/>
      <dgm:spPr/>
      <dgm:t>
        <a:bodyPr/>
        <a:lstStyle/>
        <a:p>
          <a:r>
            <a:rPr lang="pl-PL"/>
            <a:t>Opracowanie corocznego planu kontroli jakości powietrza dla pomieszczeń zawierających azbest.</a:t>
          </a:r>
        </a:p>
      </dgm:t>
    </dgm:pt>
    <dgm:pt modelId="{C7E874B4-9E0C-46DF-92EB-E7AA3A362C48}" type="parTrans" cxnId="{A74265BC-2042-4A09-8FBE-81022CA9659E}">
      <dgm:prSet/>
      <dgm:spPr/>
      <dgm:t>
        <a:bodyPr/>
        <a:lstStyle/>
        <a:p>
          <a:endParaRPr lang="pl-PL"/>
        </a:p>
      </dgm:t>
    </dgm:pt>
    <dgm:pt modelId="{3155CA73-0830-4CCC-BBA9-3DEA9F6482EE}" type="sibTrans" cxnId="{A74265BC-2042-4A09-8FBE-81022CA9659E}">
      <dgm:prSet/>
      <dgm:spPr/>
      <dgm:t>
        <a:bodyPr/>
        <a:lstStyle/>
        <a:p>
          <a:endParaRPr lang="pl-PL"/>
        </a:p>
      </dgm:t>
    </dgm:pt>
    <dgm:pt modelId="{12DC5735-A8A2-49D7-9AAD-C188C7FC82AE}">
      <dgm:prSet/>
      <dgm:spPr/>
      <dgm:t>
        <a:bodyPr/>
        <a:lstStyle/>
        <a:p>
          <a:r>
            <a:rPr lang="pl-PL"/>
            <a:t>Zaznaczenie na planach sytuacyjnych terenu miejsc z wyrobami zawierającymi azbest.</a:t>
          </a:r>
        </a:p>
      </dgm:t>
    </dgm:pt>
    <dgm:pt modelId="{BD683F5D-1485-4B90-86E1-23AE87F46742}" type="parTrans" cxnId="{C77CB371-C08D-46D7-9488-31EF0DC4C7FF}">
      <dgm:prSet/>
      <dgm:spPr/>
      <dgm:t>
        <a:bodyPr/>
        <a:lstStyle/>
        <a:p>
          <a:endParaRPr lang="pl-PL"/>
        </a:p>
      </dgm:t>
    </dgm:pt>
    <dgm:pt modelId="{43C81447-9C99-4923-B160-A0C7AC346C10}" type="sibTrans" cxnId="{C77CB371-C08D-46D7-9488-31EF0DC4C7FF}">
      <dgm:prSet/>
      <dgm:spPr/>
      <dgm:t>
        <a:bodyPr/>
        <a:lstStyle/>
        <a:p>
          <a:endParaRPr lang="pl-PL"/>
        </a:p>
      </dgm:t>
    </dgm:pt>
    <dgm:pt modelId="{B22B5C09-9100-436B-9C6F-411082B4F8C2}" type="pres">
      <dgm:prSet presAssocID="{290941DE-A1DB-46F1-B03D-0105B16E5B2F}" presName="Name0" presStyleCnt="0">
        <dgm:presLayoutVars>
          <dgm:dir/>
          <dgm:resizeHandles val="exact"/>
        </dgm:presLayoutVars>
      </dgm:prSet>
      <dgm:spPr/>
    </dgm:pt>
    <dgm:pt modelId="{EBA11BF1-986E-4536-98A8-364577EA7B9B}" type="pres">
      <dgm:prSet presAssocID="{5C412DE9-7057-441A-8C91-C41600E9B5F3}" presName="node" presStyleLbl="node1" presStyleIdx="0" presStyleCnt="7">
        <dgm:presLayoutVars>
          <dgm:bulletEnabled val="1"/>
        </dgm:presLayoutVars>
      </dgm:prSet>
      <dgm:spPr/>
    </dgm:pt>
    <dgm:pt modelId="{1181FD1E-08FA-488E-9FCC-9319D142F28E}" type="pres">
      <dgm:prSet presAssocID="{81D96DCF-4228-41CA-82CC-25F433DE5C16}" presName="sibTrans" presStyleLbl="sibTrans1D1" presStyleIdx="0" presStyleCnt="6"/>
      <dgm:spPr/>
    </dgm:pt>
    <dgm:pt modelId="{E81B558C-CBBF-4E50-A46D-4F8BD0C4988A}" type="pres">
      <dgm:prSet presAssocID="{81D96DCF-4228-41CA-82CC-25F433DE5C16}" presName="connectorText" presStyleLbl="sibTrans1D1" presStyleIdx="0" presStyleCnt="6"/>
      <dgm:spPr/>
    </dgm:pt>
    <dgm:pt modelId="{B3E79C7E-4A29-4263-B041-931FD0C9D871}" type="pres">
      <dgm:prSet presAssocID="{071E8585-3E73-4F0D-BF39-0D93A1C8C681}" presName="node" presStyleLbl="node1" presStyleIdx="1" presStyleCnt="7">
        <dgm:presLayoutVars>
          <dgm:bulletEnabled val="1"/>
        </dgm:presLayoutVars>
      </dgm:prSet>
      <dgm:spPr/>
    </dgm:pt>
    <dgm:pt modelId="{27F3B7D1-5BB8-40A1-A160-A2A330879F9D}" type="pres">
      <dgm:prSet presAssocID="{EA65DC71-A253-4079-98C2-1DB653F09656}" presName="sibTrans" presStyleLbl="sibTrans1D1" presStyleIdx="1" presStyleCnt="6"/>
      <dgm:spPr/>
    </dgm:pt>
    <dgm:pt modelId="{359AC4B4-2C48-4725-8693-760DB93EBC41}" type="pres">
      <dgm:prSet presAssocID="{EA65DC71-A253-4079-98C2-1DB653F09656}" presName="connectorText" presStyleLbl="sibTrans1D1" presStyleIdx="1" presStyleCnt="6"/>
      <dgm:spPr/>
    </dgm:pt>
    <dgm:pt modelId="{A7D1E759-8F10-4114-A25F-09B2988F608B}" type="pres">
      <dgm:prSet presAssocID="{730312BD-7AA1-44B1-9D76-3184C5170F58}" presName="node" presStyleLbl="node1" presStyleIdx="2" presStyleCnt="7">
        <dgm:presLayoutVars>
          <dgm:bulletEnabled val="1"/>
        </dgm:presLayoutVars>
      </dgm:prSet>
      <dgm:spPr/>
    </dgm:pt>
    <dgm:pt modelId="{3919D872-B3A3-4EC0-86A5-1AAF43547F09}" type="pres">
      <dgm:prSet presAssocID="{EF2340CE-7274-4A41-B3D9-9A9BE5A4D87A}" presName="sibTrans" presStyleLbl="sibTrans1D1" presStyleIdx="2" presStyleCnt="6"/>
      <dgm:spPr/>
    </dgm:pt>
    <dgm:pt modelId="{7755FD52-8BF6-42D9-8470-CFA28198F399}" type="pres">
      <dgm:prSet presAssocID="{EF2340CE-7274-4A41-B3D9-9A9BE5A4D87A}" presName="connectorText" presStyleLbl="sibTrans1D1" presStyleIdx="2" presStyleCnt="6"/>
      <dgm:spPr/>
    </dgm:pt>
    <dgm:pt modelId="{4610F32A-E761-47E9-9B10-D57160F33225}" type="pres">
      <dgm:prSet presAssocID="{D1A96D63-6435-406B-AAA1-DD834F9590D2}" presName="node" presStyleLbl="node1" presStyleIdx="3" presStyleCnt="7" custLinFactNeighborX="-3856" custLinFactNeighborY="51">
        <dgm:presLayoutVars>
          <dgm:bulletEnabled val="1"/>
        </dgm:presLayoutVars>
      </dgm:prSet>
      <dgm:spPr/>
    </dgm:pt>
    <dgm:pt modelId="{4EF84477-B111-4BAF-B40B-062184D3FD3F}" type="pres">
      <dgm:prSet presAssocID="{5744942C-8D0E-483E-9230-67C39FF5413A}" presName="sibTrans" presStyleLbl="sibTrans1D1" presStyleIdx="3" presStyleCnt="6"/>
      <dgm:spPr/>
    </dgm:pt>
    <dgm:pt modelId="{A4EDE810-F54F-4A8F-B4F7-B1AB8C96C126}" type="pres">
      <dgm:prSet presAssocID="{5744942C-8D0E-483E-9230-67C39FF5413A}" presName="connectorText" presStyleLbl="sibTrans1D1" presStyleIdx="3" presStyleCnt="6"/>
      <dgm:spPr/>
    </dgm:pt>
    <dgm:pt modelId="{CD0B5F03-FC55-43C6-B275-51F4EE9DB075}" type="pres">
      <dgm:prSet presAssocID="{97E7E4CB-264A-47F5-9D3F-BEF3C635CA55}" presName="node" presStyleLbl="node1" presStyleIdx="4" presStyleCnt="7" custLinFactNeighborX="-2156">
        <dgm:presLayoutVars>
          <dgm:bulletEnabled val="1"/>
        </dgm:presLayoutVars>
      </dgm:prSet>
      <dgm:spPr/>
    </dgm:pt>
    <dgm:pt modelId="{FDA37DE8-22F6-4069-BD50-E96F17EC9924}" type="pres">
      <dgm:prSet presAssocID="{1885901A-B0E5-44AD-9E93-8D0CB0A3F886}" presName="sibTrans" presStyleLbl="sibTrans1D1" presStyleIdx="4" presStyleCnt="6"/>
      <dgm:spPr/>
    </dgm:pt>
    <dgm:pt modelId="{4AC9BCDA-4141-4F92-A496-61A7CDB10434}" type="pres">
      <dgm:prSet presAssocID="{1885901A-B0E5-44AD-9E93-8D0CB0A3F886}" presName="connectorText" presStyleLbl="sibTrans1D1" presStyleIdx="4" presStyleCnt="6"/>
      <dgm:spPr/>
    </dgm:pt>
    <dgm:pt modelId="{A3FA0BA8-8E5C-4FD4-A784-277CA6CE5AB5}" type="pres">
      <dgm:prSet presAssocID="{346326C9-5F68-4D88-957D-5F7F31C074C5}" presName="node" presStyleLbl="node1" presStyleIdx="5" presStyleCnt="7" custLinFactNeighborX="-1617" custLinFactNeighborY="898">
        <dgm:presLayoutVars>
          <dgm:bulletEnabled val="1"/>
        </dgm:presLayoutVars>
      </dgm:prSet>
      <dgm:spPr/>
    </dgm:pt>
    <dgm:pt modelId="{C57E41FA-3A54-4435-A6F4-E7C5AF1CDBAE}" type="pres">
      <dgm:prSet presAssocID="{3155CA73-0830-4CCC-BBA9-3DEA9F6482EE}" presName="sibTrans" presStyleLbl="sibTrans1D1" presStyleIdx="5" presStyleCnt="6"/>
      <dgm:spPr/>
    </dgm:pt>
    <dgm:pt modelId="{A5578462-A656-46A3-AFE9-77A47306841A}" type="pres">
      <dgm:prSet presAssocID="{3155CA73-0830-4CCC-BBA9-3DEA9F6482EE}" presName="connectorText" presStyleLbl="sibTrans1D1" presStyleIdx="5" presStyleCnt="6"/>
      <dgm:spPr/>
    </dgm:pt>
    <dgm:pt modelId="{83613B03-E536-473F-8E09-CA86820DF02D}" type="pres">
      <dgm:prSet presAssocID="{12DC5735-A8A2-49D7-9AAD-C188C7FC82AE}" presName="node" presStyleLbl="node1" presStyleIdx="6" presStyleCnt="7" custLinFactNeighborX="-610" custLinFactNeighborY="314">
        <dgm:presLayoutVars>
          <dgm:bulletEnabled val="1"/>
        </dgm:presLayoutVars>
      </dgm:prSet>
      <dgm:spPr/>
    </dgm:pt>
  </dgm:ptLst>
  <dgm:cxnLst>
    <dgm:cxn modelId="{BAA30206-37C6-415B-9311-C0084D1981A7}" type="presOf" srcId="{12DC5735-A8A2-49D7-9AAD-C188C7FC82AE}" destId="{83613B03-E536-473F-8E09-CA86820DF02D}" srcOrd="0" destOrd="0" presId="urn:microsoft.com/office/officeart/2005/8/layout/bProcess3"/>
    <dgm:cxn modelId="{799CC215-B6AB-4134-A43A-628836A28CDA}" type="presOf" srcId="{5744942C-8D0E-483E-9230-67C39FF5413A}" destId="{A4EDE810-F54F-4A8F-B4F7-B1AB8C96C126}" srcOrd="1" destOrd="0" presId="urn:microsoft.com/office/officeart/2005/8/layout/bProcess3"/>
    <dgm:cxn modelId="{B6DD543D-1BB0-454B-AE49-083A99B95A04}" type="presOf" srcId="{346326C9-5F68-4D88-957D-5F7F31C074C5}" destId="{A3FA0BA8-8E5C-4FD4-A784-277CA6CE5AB5}" srcOrd="0" destOrd="0" presId="urn:microsoft.com/office/officeart/2005/8/layout/bProcess3"/>
    <dgm:cxn modelId="{DAFD3C5F-6CD8-4525-AA25-E4DCD776657E}" srcId="{290941DE-A1DB-46F1-B03D-0105B16E5B2F}" destId="{97E7E4CB-264A-47F5-9D3F-BEF3C635CA55}" srcOrd="4" destOrd="0" parTransId="{B5D19227-9135-4581-85E6-AAF573DFE4D7}" sibTransId="{1885901A-B0E5-44AD-9E93-8D0CB0A3F886}"/>
    <dgm:cxn modelId="{DF195560-EDDF-4F4A-BBB2-D25C79AC2C44}" type="presOf" srcId="{1885901A-B0E5-44AD-9E93-8D0CB0A3F886}" destId="{4AC9BCDA-4141-4F92-A496-61A7CDB10434}" srcOrd="1" destOrd="0" presId="urn:microsoft.com/office/officeart/2005/8/layout/bProcess3"/>
    <dgm:cxn modelId="{9E276241-E27F-4C69-9BB6-6ADF6243BA1A}" type="presOf" srcId="{EF2340CE-7274-4A41-B3D9-9A9BE5A4D87A}" destId="{3919D872-B3A3-4EC0-86A5-1AAF43547F09}" srcOrd="0" destOrd="0" presId="urn:microsoft.com/office/officeart/2005/8/layout/bProcess3"/>
    <dgm:cxn modelId="{799CD14B-AA97-4A7C-B5ED-7772CDAB7E0B}" type="presOf" srcId="{EA65DC71-A253-4079-98C2-1DB653F09656}" destId="{27F3B7D1-5BB8-40A1-A160-A2A330879F9D}" srcOrd="0" destOrd="0" presId="urn:microsoft.com/office/officeart/2005/8/layout/bProcess3"/>
    <dgm:cxn modelId="{B5575F6D-ABE5-4789-B5F3-497869FC93D1}" type="presOf" srcId="{5C412DE9-7057-441A-8C91-C41600E9B5F3}" destId="{EBA11BF1-986E-4536-98A8-364577EA7B9B}" srcOrd="0" destOrd="0" presId="urn:microsoft.com/office/officeart/2005/8/layout/bProcess3"/>
    <dgm:cxn modelId="{5D2D056E-4EFF-4723-9FE7-E9DC8A4F1EFF}" type="presOf" srcId="{3155CA73-0830-4CCC-BBA9-3DEA9F6482EE}" destId="{A5578462-A656-46A3-AFE9-77A47306841A}" srcOrd="1" destOrd="0" presId="urn:microsoft.com/office/officeart/2005/8/layout/bProcess3"/>
    <dgm:cxn modelId="{5183156E-C596-4042-B01F-E7654F382271}" type="presOf" srcId="{EA65DC71-A253-4079-98C2-1DB653F09656}" destId="{359AC4B4-2C48-4725-8693-760DB93EBC41}" srcOrd="1" destOrd="0" presId="urn:microsoft.com/office/officeart/2005/8/layout/bProcess3"/>
    <dgm:cxn modelId="{0333A46E-6898-429B-85AF-18B0161A7734}" type="presOf" srcId="{071E8585-3E73-4F0D-BF39-0D93A1C8C681}" destId="{B3E79C7E-4A29-4263-B041-931FD0C9D871}" srcOrd="0" destOrd="0" presId="urn:microsoft.com/office/officeart/2005/8/layout/bProcess3"/>
    <dgm:cxn modelId="{6A15276F-ECF7-4376-AC36-B0C1907360D5}" type="presOf" srcId="{EF2340CE-7274-4A41-B3D9-9A9BE5A4D87A}" destId="{7755FD52-8BF6-42D9-8470-CFA28198F399}" srcOrd="1" destOrd="0" presId="urn:microsoft.com/office/officeart/2005/8/layout/bProcess3"/>
    <dgm:cxn modelId="{C77CB371-C08D-46D7-9488-31EF0DC4C7FF}" srcId="{290941DE-A1DB-46F1-B03D-0105B16E5B2F}" destId="{12DC5735-A8A2-49D7-9AAD-C188C7FC82AE}" srcOrd="6" destOrd="0" parTransId="{BD683F5D-1485-4B90-86E1-23AE87F46742}" sibTransId="{43C81447-9C99-4923-B160-A0C7AC346C10}"/>
    <dgm:cxn modelId="{1186C356-AA4C-401E-8550-30DE1CA3654F}" srcId="{290941DE-A1DB-46F1-B03D-0105B16E5B2F}" destId="{D1A96D63-6435-406B-AAA1-DD834F9590D2}" srcOrd="3" destOrd="0" parTransId="{228405FB-4401-4C81-B57D-8600070D4630}" sibTransId="{5744942C-8D0E-483E-9230-67C39FF5413A}"/>
    <dgm:cxn modelId="{7C1CFE76-EF27-4A85-B534-16FD73608D80}" srcId="{290941DE-A1DB-46F1-B03D-0105B16E5B2F}" destId="{071E8585-3E73-4F0D-BF39-0D93A1C8C681}" srcOrd="1" destOrd="0" parTransId="{7AC14C30-0099-47E1-86F8-ED2E90365331}" sibTransId="{EA65DC71-A253-4079-98C2-1DB653F09656}"/>
    <dgm:cxn modelId="{A1E0697C-E481-48E4-857A-9F1C9A59A2C3}" type="presOf" srcId="{97E7E4CB-264A-47F5-9D3F-BEF3C635CA55}" destId="{CD0B5F03-FC55-43C6-B275-51F4EE9DB075}" srcOrd="0" destOrd="0" presId="urn:microsoft.com/office/officeart/2005/8/layout/bProcess3"/>
    <dgm:cxn modelId="{59CA9DA0-BC5F-4918-BA3C-B687A29D7964}" srcId="{290941DE-A1DB-46F1-B03D-0105B16E5B2F}" destId="{730312BD-7AA1-44B1-9D76-3184C5170F58}" srcOrd="2" destOrd="0" parTransId="{5E4ED77C-2A43-4942-B176-8220DC4636DB}" sibTransId="{EF2340CE-7274-4A41-B3D9-9A9BE5A4D87A}"/>
    <dgm:cxn modelId="{2AB790A1-18D4-4AD6-A6B5-0DAC8AB64457}" type="presOf" srcId="{D1A96D63-6435-406B-AAA1-DD834F9590D2}" destId="{4610F32A-E761-47E9-9B10-D57160F33225}" srcOrd="0" destOrd="0" presId="urn:microsoft.com/office/officeart/2005/8/layout/bProcess3"/>
    <dgm:cxn modelId="{C1DAE6A4-0B29-4FCA-B696-11DE73A45BB3}" type="presOf" srcId="{290941DE-A1DB-46F1-B03D-0105B16E5B2F}" destId="{B22B5C09-9100-436B-9C6F-411082B4F8C2}" srcOrd="0" destOrd="0" presId="urn:microsoft.com/office/officeart/2005/8/layout/bProcess3"/>
    <dgm:cxn modelId="{A74265BC-2042-4A09-8FBE-81022CA9659E}" srcId="{290941DE-A1DB-46F1-B03D-0105B16E5B2F}" destId="{346326C9-5F68-4D88-957D-5F7F31C074C5}" srcOrd="5" destOrd="0" parTransId="{C7E874B4-9E0C-46DF-92EB-E7AA3A362C48}" sibTransId="{3155CA73-0830-4CCC-BBA9-3DEA9F6482EE}"/>
    <dgm:cxn modelId="{CD7877BD-5F17-4994-8128-B9F2EC94C5C9}" type="presOf" srcId="{81D96DCF-4228-41CA-82CC-25F433DE5C16}" destId="{1181FD1E-08FA-488E-9FCC-9319D142F28E}" srcOrd="0" destOrd="0" presId="urn:microsoft.com/office/officeart/2005/8/layout/bProcess3"/>
    <dgm:cxn modelId="{F1901AD6-9A95-4220-96B9-B56FC8B5A165}" type="presOf" srcId="{730312BD-7AA1-44B1-9D76-3184C5170F58}" destId="{A7D1E759-8F10-4114-A25F-09B2988F608B}" srcOrd="0" destOrd="0" presId="urn:microsoft.com/office/officeart/2005/8/layout/bProcess3"/>
    <dgm:cxn modelId="{6F3BD7E1-087F-4CCA-8326-BB6937E70FD0}" srcId="{290941DE-A1DB-46F1-B03D-0105B16E5B2F}" destId="{5C412DE9-7057-441A-8C91-C41600E9B5F3}" srcOrd="0" destOrd="0" parTransId="{AE4E9A24-47BD-4690-AF30-14A690F1AA44}" sibTransId="{81D96DCF-4228-41CA-82CC-25F433DE5C16}"/>
    <dgm:cxn modelId="{B64F0AE6-FC26-487F-927A-760EBF057E92}" type="presOf" srcId="{5744942C-8D0E-483E-9230-67C39FF5413A}" destId="{4EF84477-B111-4BAF-B40B-062184D3FD3F}" srcOrd="0" destOrd="0" presId="urn:microsoft.com/office/officeart/2005/8/layout/bProcess3"/>
    <dgm:cxn modelId="{AF3E28F2-CA7E-4F23-BF9D-FED511C7E839}" type="presOf" srcId="{81D96DCF-4228-41CA-82CC-25F433DE5C16}" destId="{E81B558C-CBBF-4E50-A46D-4F8BD0C4988A}" srcOrd="1" destOrd="0" presId="urn:microsoft.com/office/officeart/2005/8/layout/bProcess3"/>
    <dgm:cxn modelId="{7F2E46F9-9ED9-4DE5-A8E5-3B9E65E87DBE}" type="presOf" srcId="{3155CA73-0830-4CCC-BBA9-3DEA9F6482EE}" destId="{C57E41FA-3A54-4435-A6F4-E7C5AF1CDBAE}" srcOrd="0" destOrd="0" presId="urn:microsoft.com/office/officeart/2005/8/layout/bProcess3"/>
    <dgm:cxn modelId="{95B381FE-0DF4-49A3-BABC-C98FE7504597}" type="presOf" srcId="{1885901A-B0E5-44AD-9E93-8D0CB0A3F886}" destId="{FDA37DE8-22F6-4069-BD50-E96F17EC9924}" srcOrd="0" destOrd="0" presId="urn:microsoft.com/office/officeart/2005/8/layout/bProcess3"/>
    <dgm:cxn modelId="{23418A8D-2A32-46D1-8FA0-4A4EE3737B9B}" type="presParOf" srcId="{B22B5C09-9100-436B-9C6F-411082B4F8C2}" destId="{EBA11BF1-986E-4536-98A8-364577EA7B9B}" srcOrd="0" destOrd="0" presId="urn:microsoft.com/office/officeart/2005/8/layout/bProcess3"/>
    <dgm:cxn modelId="{9327BC78-AE12-49D8-80DE-FF0F90702A2E}" type="presParOf" srcId="{B22B5C09-9100-436B-9C6F-411082B4F8C2}" destId="{1181FD1E-08FA-488E-9FCC-9319D142F28E}" srcOrd="1" destOrd="0" presId="urn:microsoft.com/office/officeart/2005/8/layout/bProcess3"/>
    <dgm:cxn modelId="{C333B4B1-0B3B-42CD-BC89-547300604F00}" type="presParOf" srcId="{1181FD1E-08FA-488E-9FCC-9319D142F28E}" destId="{E81B558C-CBBF-4E50-A46D-4F8BD0C4988A}" srcOrd="0" destOrd="0" presId="urn:microsoft.com/office/officeart/2005/8/layout/bProcess3"/>
    <dgm:cxn modelId="{59DF8CB8-EE17-4055-B637-D0BCEE2DE696}" type="presParOf" srcId="{B22B5C09-9100-436B-9C6F-411082B4F8C2}" destId="{B3E79C7E-4A29-4263-B041-931FD0C9D871}" srcOrd="2" destOrd="0" presId="urn:microsoft.com/office/officeart/2005/8/layout/bProcess3"/>
    <dgm:cxn modelId="{81B29E7C-BF1E-4173-A022-AFD74FEA0149}" type="presParOf" srcId="{B22B5C09-9100-436B-9C6F-411082B4F8C2}" destId="{27F3B7D1-5BB8-40A1-A160-A2A330879F9D}" srcOrd="3" destOrd="0" presId="urn:microsoft.com/office/officeart/2005/8/layout/bProcess3"/>
    <dgm:cxn modelId="{45BB77F8-A9F8-4A0D-AED2-55F8AFD2E434}" type="presParOf" srcId="{27F3B7D1-5BB8-40A1-A160-A2A330879F9D}" destId="{359AC4B4-2C48-4725-8693-760DB93EBC41}" srcOrd="0" destOrd="0" presId="urn:microsoft.com/office/officeart/2005/8/layout/bProcess3"/>
    <dgm:cxn modelId="{4544BF8A-8B77-4E3A-92FA-B06A5802666D}" type="presParOf" srcId="{B22B5C09-9100-436B-9C6F-411082B4F8C2}" destId="{A7D1E759-8F10-4114-A25F-09B2988F608B}" srcOrd="4" destOrd="0" presId="urn:microsoft.com/office/officeart/2005/8/layout/bProcess3"/>
    <dgm:cxn modelId="{F5E4A5EB-7A5B-411F-868A-31E58E16317D}" type="presParOf" srcId="{B22B5C09-9100-436B-9C6F-411082B4F8C2}" destId="{3919D872-B3A3-4EC0-86A5-1AAF43547F09}" srcOrd="5" destOrd="0" presId="urn:microsoft.com/office/officeart/2005/8/layout/bProcess3"/>
    <dgm:cxn modelId="{34D166C9-9412-4BE9-B99C-E103FB525C74}" type="presParOf" srcId="{3919D872-B3A3-4EC0-86A5-1AAF43547F09}" destId="{7755FD52-8BF6-42D9-8470-CFA28198F399}" srcOrd="0" destOrd="0" presId="urn:microsoft.com/office/officeart/2005/8/layout/bProcess3"/>
    <dgm:cxn modelId="{AA3AC8E3-1BB5-4C66-BF39-CE0BF8AE9E1C}" type="presParOf" srcId="{B22B5C09-9100-436B-9C6F-411082B4F8C2}" destId="{4610F32A-E761-47E9-9B10-D57160F33225}" srcOrd="6" destOrd="0" presId="urn:microsoft.com/office/officeart/2005/8/layout/bProcess3"/>
    <dgm:cxn modelId="{BCE7FD80-9B55-42CD-B9DF-1A4CA9411944}" type="presParOf" srcId="{B22B5C09-9100-436B-9C6F-411082B4F8C2}" destId="{4EF84477-B111-4BAF-B40B-062184D3FD3F}" srcOrd="7" destOrd="0" presId="urn:microsoft.com/office/officeart/2005/8/layout/bProcess3"/>
    <dgm:cxn modelId="{12A2614C-C305-49DE-B5B4-E9AE4C2C0F36}" type="presParOf" srcId="{4EF84477-B111-4BAF-B40B-062184D3FD3F}" destId="{A4EDE810-F54F-4A8F-B4F7-B1AB8C96C126}" srcOrd="0" destOrd="0" presId="urn:microsoft.com/office/officeart/2005/8/layout/bProcess3"/>
    <dgm:cxn modelId="{5E1304F9-D879-4CA9-AAF4-49255F3F9975}" type="presParOf" srcId="{B22B5C09-9100-436B-9C6F-411082B4F8C2}" destId="{CD0B5F03-FC55-43C6-B275-51F4EE9DB075}" srcOrd="8" destOrd="0" presId="urn:microsoft.com/office/officeart/2005/8/layout/bProcess3"/>
    <dgm:cxn modelId="{11C90AA2-F9E2-4AAA-9CFF-4D6FE9347A51}" type="presParOf" srcId="{B22B5C09-9100-436B-9C6F-411082B4F8C2}" destId="{FDA37DE8-22F6-4069-BD50-E96F17EC9924}" srcOrd="9" destOrd="0" presId="urn:microsoft.com/office/officeart/2005/8/layout/bProcess3"/>
    <dgm:cxn modelId="{62E81EDD-0640-4ADA-A7E7-AE03277A4060}" type="presParOf" srcId="{FDA37DE8-22F6-4069-BD50-E96F17EC9924}" destId="{4AC9BCDA-4141-4F92-A496-61A7CDB10434}" srcOrd="0" destOrd="0" presId="urn:microsoft.com/office/officeart/2005/8/layout/bProcess3"/>
    <dgm:cxn modelId="{6119CE12-5AE2-4EAA-A1E6-96D3C2298AC3}" type="presParOf" srcId="{B22B5C09-9100-436B-9C6F-411082B4F8C2}" destId="{A3FA0BA8-8E5C-4FD4-A784-277CA6CE5AB5}" srcOrd="10" destOrd="0" presId="urn:microsoft.com/office/officeart/2005/8/layout/bProcess3"/>
    <dgm:cxn modelId="{30D33356-D6E5-4E0C-92FA-3DE75275350E}" type="presParOf" srcId="{B22B5C09-9100-436B-9C6F-411082B4F8C2}" destId="{C57E41FA-3A54-4435-A6F4-E7C5AF1CDBAE}" srcOrd="11" destOrd="0" presId="urn:microsoft.com/office/officeart/2005/8/layout/bProcess3"/>
    <dgm:cxn modelId="{F88709FF-4C4B-40C0-97B3-E4097B255204}" type="presParOf" srcId="{C57E41FA-3A54-4435-A6F4-E7C5AF1CDBAE}" destId="{A5578462-A656-46A3-AFE9-77A47306841A}" srcOrd="0" destOrd="0" presId="urn:microsoft.com/office/officeart/2005/8/layout/bProcess3"/>
    <dgm:cxn modelId="{AEFF9E8E-2333-4298-AB69-3B318ADA550E}" type="presParOf" srcId="{B22B5C09-9100-436B-9C6F-411082B4F8C2}" destId="{83613B03-E536-473F-8E09-CA86820DF02D}" srcOrd="12" destOrd="0" presId="urn:microsoft.com/office/officeart/2005/8/layout/bProcess3"/>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290941DE-A1DB-46F1-B03D-0105B16E5B2F}" type="doc">
      <dgm:prSet loTypeId="urn:microsoft.com/office/officeart/2005/8/layout/bProcess3" loCatId="process" qsTypeId="urn:microsoft.com/office/officeart/2005/8/quickstyle/simple5" qsCatId="simple" csTypeId="urn:microsoft.com/office/officeart/2005/8/colors/colorful1#3" csCatId="colorful" phldr="1"/>
      <dgm:spPr/>
      <dgm:t>
        <a:bodyPr/>
        <a:lstStyle/>
        <a:p>
          <a:endParaRPr lang="pl-PL"/>
        </a:p>
      </dgm:t>
    </dgm:pt>
    <dgm:pt modelId="{5C412DE9-7057-441A-8C91-C41600E9B5F3}">
      <dgm:prSet phldrT="[Tekst]"/>
      <dgm:spPr/>
      <dgm:t>
        <a:bodyPr/>
        <a:lstStyle/>
        <a:p>
          <a:r>
            <a:rPr lang="pl-PL"/>
            <a:t>Podjęcie decyzji o usuwaniu wyrobów zawierających azbest.</a:t>
          </a:r>
        </a:p>
      </dgm:t>
    </dgm:pt>
    <dgm:pt modelId="{AE4E9A24-47BD-4690-AF30-14A690F1AA44}" type="parTrans" cxnId="{6F3BD7E1-087F-4CCA-8326-BB6937E70FD0}">
      <dgm:prSet/>
      <dgm:spPr/>
      <dgm:t>
        <a:bodyPr/>
        <a:lstStyle/>
        <a:p>
          <a:endParaRPr lang="pl-PL"/>
        </a:p>
      </dgm:t>
    </dgm:pt>
    <dgm:pt modelId="{81D96DCF-4228-41CA-82CC-25F433DE5C16}" type="sibTrans" cxnId="{6F3BD7E1-087F-4CCA-8326-BB6937E70FD0}">
      <dgm:prSet/>
      <dgm:spPr/>
      <dgm:t>
        <a:bodyPr/>
        <a:lstStyle/>
        <a:p>
          <a:endParaRPr lang="pl-PL"/>
        </a:p>
      </dgm:t>
    </dgm:pt>
    <dgm:pt modelId="{071E8585-3E73-4F0D-BF39-0D93A1C8C681}">
      <dgm:prSet/>
      <dgm:spPr/>
      <dgm:t>
        <a:bodyPr/>
        <a:lstStyle/>
        <a:p>
          <a:r>
            <a:rPr lang="pl-PL"/>
            <a:t>Zgłoszenie właściwemu organowi architektoniczno - budowlanemu lub powiatowemu inspektorowi nadzoru budowlanego - na 30 dni przed rozpoczęciem prac zamiaru usuwania wyrobów, zawierających azbest w celu uzyskania stosownych pozwoleń wraz z określonymi warunkami.</a:t>
          </a:r>
        </a:p>
      </dgm:t>
    </dgm:pt>
    <dgm:pt modelId="{7AC14C30-0099-47E1-86F8-ED2E90365331}" type="parTrans" cxnId="{7C1CFE76-EF27-4A85-B534-16FD73608D80}">
      <dgm:prSet/>
      <dgm:spPr/>
      <dgm:t>
        <a:bodyPr/>
        <a:lstStyle/>
        <a:p>
          <a:endParaRPr lang="pl-PL"/>
        </a:p>
      </dgm:t>
    </dgm:pt>
    <dgm:pt modelId="{EA65DC71-A253-4079-98C2-1DB653F09656}" type="sibTrans" cxnId="{7C1CFE76-EF27-4A85-B534-16FD73608D80}">
      <dgm:prSet/>
      <dgm:spPr/>
      <dgm:t>
        <a:bodyPr/>
        <a:lstStyle/>
        <a:p>
          <a:endParaRPr lang="pl-PL"/>
        </a:p>
      </dgm:t>
    </dgm:pt>
    <dgm:pt modelId="{730312BD-7AA1-44B1-9D76-3184C5170F58}">
      <dgm:prSet/>
      <dgm:spPr/>
      <dgm:t>
        <a:bodyPr/>
        <a:lstStyle/>
        <a:p>
          <a:r>
            <a:rPr lang="pl-PL"/>
            <a:t>Dokonanie wyboru wykonawcy prac (powinien posiadać przeszkolenie BHP w zakresie demontażu wyrobów zawierających azbest) i zawarcie umowy. Określenie obowiązków stron, również w zakresie zabezpieczenia przed emisją azbestu.</a:t>
          </a:r>
        </a:p>
      </dgm:t>
    </dgm:pt>
    <dgm:pt modelId="{5E4ED77C-2A43-4942-B176-8220DC4636DB}" type="parTrans" cxnId="{59CA9DA0-BC5F-4918-BA3C-B687A29D7964}">
      <dgm:prSet/>
      <dgm:spPr/>
      <dgm:t>
        <a:bodyPr/>
        <a:lstStyle/>
        <a:p>
          <a:endParaRPr lang="pl-PL"/>
        </a:p>
      </dgm:t>
    </dgm:pt>
    <dgm:pt modelId="{EF2340CE-7274-4A41-B3D9-9A9BE5A4D87A}" type="sibTrans" cxnId="{59CA9DA0-BC5F-4918-BA3C-B687A29D7964}">
      <dgm:prSet/>
      <dgm:spPr/>
      <dgm:t>
        <a:bodyPr/>
        <a:lstStyle/>
        <a:p>
          <a:endParaRPr lang="pl-PL"/>
        </a:p>
      </dgm:t>
    </dgm:pt>
    <dgm:pt modelId="{D1A96D63-6435-406B-AAA1-DD834F9590D2}">
      <dgm:prSet/>
      <dgm:spPr/>
      <dgm:t>
        <a:bodyPr/>
        <a:lstStyle/>
        <a:p>
          <a:r>
            <a:rPr lang="pl-PL"/>
            <a:t>Poinformowanie mieszkanców, użytkowników obiektu o usuwaniu niebezpiecznych materiałów i sposobach ich zabezpieczenia.</a:t>
          </a:r>
        </a:p>
      </dgm:t>
    </dgm:pt>
    <dgm:pt modelId="{228405FB-4401-4C81-B57D-8600070D4630}" type="parTrans" cxnId="{1186C356-AA4C-401E-8550-30DE1CA3654F}">
      <dgm:prSet/>
      <dgm:spPr/>
      <dgm:t>
        <a:bodyPr/>
        <a:lstStyle/>
        <a:p>
          <a:endParaRPr lang="pl-PL"/>
        </a:p>
      </dgm:t>
    </dgm:pt>
    <dgm:pt modelId="{5744942C-8D0E-483E-9230-67C39FF5413A}" type="sibTrans" cxnId="{1186C356-AA4C-401E-8550-30DE1CA3654F}">
      <dgm:prSet/>
      <dgm:spPr/>
      <dgm:t>
        <a:bodyPr/>
        <a:lstStyle/>
        <a:p>
          <a:endParaRPr lang="pl-PL"/>
        </a:p>
      </dgm:t>
    </dgm:pt>
    <dgm:pt modelId="{B22B5C09-9100-436B-9C6F-411082B4F8C2}" type="pres">
      <dgm:prSet presAssocID="{290941DE-A1DB-46F1-B03D-0105B16E5B2F}" presName="Name0" presStyleCnt="0">
        <dgm:presLayoutVars>
          <dgm:dir/>
          <dgm:resizeHandles val="exact"/>
        </dgm:presLayoutVars>
      </dgm:prSet>
      <dgm:spPr/>
    </dgm:pt>
    <dgm:pt modelId="{EBA11BF1-986E-4536-98A8-364577EA7B9B}" type="pres">
      <dgm:prSet presAssocID="{5C412DE9-7057-441A-8C91-C41600E9B5F3}" presName="node" presStyleLbl="node1" presStyleIdx="0" presStyleCnt="4">
        <dgm:presLayoutVars>
          <dgm:bulletEnabled val="1"/>
        </dgm:presLayoutVars>
      </dgm:prSet>
      <dgm:spPr/>
    </dgm:pt>
    <dgm:pt modelId="{1181FD1E-08FA-488E-9FCC-9319D142F28E}" type="pres">
      <dgm:prSet presAssocID="{81D96DCF-4228-41CA-82CC-25F433DE5C16}" presName="sibTrans" presStyleLbl="sibTrans1D1" presStyleIdx="0" presStyleCnt="3"/>
      <dgm:spPr/>
    </dgm:pt>
    <dgm:pt modelId="{E81B558C-CBBF-4E50-A46D-4F8BD0C4988A}" type="pres">
      <dgm:prSet presAssocID="{81D96DCF-4228-41CA-82CC-25F433DE5C16}" presName="connectorText" presStyleLbl="sibTrans1D1" presStyleIdx="0" presStyleCnt="3"/>
      <dgm:spPr/>
    </dgm:pt>
    <dgm:pt modelId="{B3E79C7E-4A29-4263-B041-931FD0C9D871}" type="pres">
      <dgm:prSet presAssocID="{071E8585-3E73-4F0D-BF39-0D93A1C8C681}" presName="node" presStyleLbl="node1" presStyleIdx="1" presStyleCnt="4">
        <dgm:presLayoutVars>
          <dgm:bulletEnabled val="1"/>
        </dgm:presLayoutVars>
      </dgm:prSet>
      <dgm:spPr/>
    </dgm:pt>
    <dgm:pt modelId="{27F3B7D1-5BB8-40A1-A160-A2A330879F9D}" type="pres">
      <dgm:prSet presAssocID="{EA65DC71-A253-4079-98C2-1DB653F09656}" presName="sibTrans" presStyleLbl="sibTrans1D1" presStyleIdx="1" presStyleCnt="3"/>
      <dgm:spPr/>
    </dgm:pt>
    <dgm:pt modelId="{359AC4B4-2C48-4725-8693-760DB93EBC41}" type="pres">
      <dgm:prSet presAssocID="{EA65DC71-A253-4079-98C2-1DB653F09656}" presName="connectorText" presStyleLbl="sibTrans1D1" presStyleIdx="1" presStyleCnt="3"/>
      <dgm:spPr/>
    </dgm:pt>
    <dgm:pt modelId="{A7D1E759-8F10-4114-A25F-09B2988F608B}" type="pres">
      <dgm:prSet presAssocID="{730312BD-7AA1-44B1-9D76-3184C5170F58}" presName="node" presStyleLbl="node1" presStyleIdx="2" presStyleCnt="4">
        <dgm:presLayoutVars>
          <dgm:bulletEnabled val="1"/>
        </dgm:presLayoutVars>
      </dgm:prSet>
      <dgm:spPr/>
    </dgm:pt>
    <dgm:pt modelId="{3919D872-B3A3-4EC0-86A5-1AAF43547F09}" type="pres">
      <dgm:prSet presAssocID="{EF2340CE-7274-4A41-B3D9-9A9BE5A4D87A}" presName="sibTrans" presStyleLbl="sibTrans1D1" presStyleIdx="2" presStyleCnt="3"/>
      <dgm:spPr/>
    </dgm:pt>
    <dgm:pt modelId="{7755FD52-8BF6-42D9-8470-CFA28198F399}" type="pres">
      <dgm:prSet presAssocID="{EF2340CE-7274-4A41-B3D9-9A9BE5A4D87A}" presName="connectorText" presStyleLbl="sibTrans1D1" presStyleIdx="2" presStyleCnt="3"/>
      <dgm:spPr/>
    </dgm:pt>
    <dgm:pt modelId="{4610F32A-E761-47E9-9B10-D57160F33225}" type="pres">
      <dgm:prSet presAssocID="{D1A96D63-6435-406B-AAA1-DD834F9590D2}" presName="node" presStyleLbl="node1" presStyleIdx="3" presStyleCnt="4" custLinFactNeighborX="-3856" custLinFactNeighborY="51">
        <dgm:presLayoutVars>
          <dgm:bulletEnabled val="1"/>
        </dgm:presLayoutVars>
      </dgm:prSet>
      <dgm:spPr/>
    </dgm:pt>
  </dgm:ptLst>
  <dgm:cxnLst>
    <dgm:cxn modelId="{EBCD4104-DFA3-450F-9C17-FC26F93A2822}" type="presOf" srcId="{5C412DE9-7057-441A-8C91-C41600E9B5F3}" destId="{EBA11BF1-986E-4536-98A8-364577EA7B9B}" srcOrd="0" destOrd="0" presId="urn:microsoft.com/office/officeart/2005/8/layout/bProcess3"/>
    <dgm:cxn modelId="{4D4ECE21-1D2F-4EE8-B3C7-83BF18C8A00F}" type="presOf" srcId="{81D96DCF-4228-41CA-82CC-25F433DE5C16}" destId="{1181FD1E-08FA-488E-9FCC-9319D142F28E}" srcOrd="0" destOrd="0" presId="urn:microsoft.com/office/officeart/2005/8/layout/bProcess3"/>
    <dgm:cxn modelId="{CAD3E72D-3A70-4A4A-8CA2-037968C0D69C}" type="presOf" srcId="{071E8585-3E73-4F0D-BF39-0D93A1C8C681}" destId="{B3E79C7E-4A29-4263-B041-931FD0C9D871}" srcOrd="0" destOrd="0" presId="urn:microsoft.com/office/officeart/2005/8/layout/bProcess3"/>
    <dgm:cxn modelId="{5DA6DD33-5FD3-4DA6-B6AC-6DCA3B9E6CCD}" type="presOf" srcId="{EF2340CE-7274-4A41-B3D9-9A9BE5A4D87A}" destId="{7755FD52-8BF6-42D9-8470-CFA28198F399}" srcOrd="1" destOrd="0" presId="urn:microsoft.com/office/officeart/2005/8/layout/bProcess3"/>
    <dgm:cxn modelId="{37DA6C61-FE76-43B3-B10B-A37DAB965C95}" type="presOf" srcId="{290941DE-A1DB-46F1-B03D-0105B16E5B2F}" destId="{B22B5C09-9100-436B-9C6F-411082B4F8C2}" srcOrd="0" destOrd="0" presId="urn:microsoft.com/office/officeart/2005/8/layout/bProcess3"/>
    <dgm:cxn modelId="{DE89C952-8621-444E-B759-0BEA6CC8F185}" type="presOf" srcId="{EA65DC71-A253-4079-98C2-1DB653F09656}" destId="{27F3B7D1-5BB8-40A1-A160-A2A330879F9D}" srcOrd="0" destOrd="0" presId="urn:microsoft.com/office/officeart/2005/8/layout/bProcess3"/>
    <dgm:cxn modelId="{1186C356-AA4C-401E-8550-30DE1CA3654F}" srcId="{290941DE-A1DB-46F1-B03D-0105B16E5B2F}" destId="{D1A96D63-6435-406B-AAA1-DD834F9590D2}" srcOrd="3" destOrd="0" parTransId="{228405FB-4401-4C81-B57D-8600070D4630}" sibTransId="{5744942C-8D0E-483E-9230-67C39FF5413A}"/>
    <dgm:cxn modelId="{7C1CFE76-EF27-4A85-B534-16FD73608D80}" srcId="{290941DE-A1DB-46F1-B03D-0105B16E5B2F}" destId="{071E8585-3E73-4F0D-BF39-0D93A1C8C681}" srcOrd="1" destOrd="0" parTransId="{7AC14C30-0099-47E1-86F8-ED2E90365331}" sibTransId="{EA65DC71-A253-4079-98C2-1DB653F09656}"/>
    <dgm:cxn modelId="{BA911F77-8D44-41D4-999E-96C8A3E7502D}" type="presOf" srcId="{730312BD-7AA1-44B1-9D76-3184C5170F58}" destId="{A7D1E759-8F10-4114-A25F-09B2988F608B}" srcOrd="0" destOrd="0" presId="urn:microsoft.com/office/officeart/2005/8/layout/bProcess3"/>
    <dgm:cxn modelId="{9F4C2591-2EDD-489E-8D82-3F4BEF48E711}" type="presOf" srcId="{EA65DC71-A253-4079-98C2-1DB653F09656}" destId="{359AC4B4-2C48-4725-8693-760DB93EBC41}" srcOrd="1" destOrd="0" presId="urn:microsoft.com/office/officeart/2005/8/layout/bProcess3"/>
    <dgm:cxn modelId="{59CA9DA0-BC5F-4918-BA3C-B687A29D7964}" srcId="{290941DE-A1DB-46F1-B03D-0105B16E5B2F}" destId="{730312BD-7AA1-44B1-9D76-3184C5170F58}" srcOrd="2" destOrd="0" parTransId="{5E4ED77C-2A43-4942-B176-8220DC4636DB}" sibTransId="{EF2340CE-7274-4A41-B3D9-9A9BE5A4D87A}"/>
    <dgm:cxn modelId="{B9E117C9-13F8-471A-A7C5-D6D511A0AD99}" type="presOf" srcId="{EF2340CE-7274-4A41-B3D9-9A9BE5A4D87A}" destId="{3919D872-B3A3-4EC0-86A5-1AAF43547F09}" srcOrd="0" destOrd="0" presId="urn:microsoft.com/office/officeart/2005/8/layout/bProcess3"/>
    <dgm:cxn modelId="{E72403CB-CCD9-49D6-BE22-BAC7AD6668A0}" type="presOf" srcId="{81D96DCF-4228-41CA-82CC-25F433DE5C16}" destId="{E81B558C-CBBF-4E50-A46D-4F8BD0C4988A}" srcOrd="1" destOrd="0" presId="urn:microsoft.com/office/officeart/2005/8/layout/bProcess3"/>
    <dgm:cxn modelId="{6F3BD7E1-087F-4CCA-8326-BB6937E70FD0}" srcId="{290941DE-A1DB-46F1-B03D-0105B16E5B2F}" destId="{5C412DE9-7057-441A-8C91-C41600E9B5F3}" srcOrd="0" destOrd="0" parTransId="{AE4E9A24-47BD-4690-AF30-14A690F1AA44}" sibTransId="{81D96DCF-4228-41CA-82CC-25F433DE5C16}"/>
    <dgm:cxn modelId="{4D5CC4F7-1E31-44A1-A10A-7A751FD65D07}" type="presOf" srcId="{D1A96D63-6435-406B-AAA1-DD834F9590D2}" destId="{4610F32A-E761-47E9-9B10-D57160F33225}" srcOrd="0" destOrd="0" presId="urn:microsoft.com/office/officeart/2005/8/layout/bProcess3"/>
    <dgm:cxn modelId="{A22EB0B6-2307-4AD6-BC53-B8F45C651EBF}" type="presParOf" srcId="{B22B5C09-9100-436B-9C6F-411082B4F8C2}" destId="{EBA11BF1-986E-4536-98A8-364577EA7B9B}" srcOrd="0" destOrd="0" presId="urn:microsoft.com/office/officeart/2005/8/layout/bProcess3"/>
    <dgm:cxn modelId="{C46DD5F9-D6A5-429B-AA56-3C39D89DD470}" type="presParOf" srcId="{B22B5C09-9100-436B-9C6F-411082B4F8C2}" destId="{1181FD1E-08FA-488E-9FCC-9319D142F28E}" srcOrd="1" destOrd="0" presId="urn:microsoft.com/office/officeart/2005/8/layout/bProcess3"/>
    <dgm:cxn modelId="{857367D3-D166-4C53-A91D-8AAD2BFA09A0}" type="presParOf" srcId="{1181FD1E-08FA-488E-9FCC-9319D142F28E}" destId="{E81B558C-CBBF-4E50-A46D-4F8BD0C4988A}" srcOrd="0" destOrd="0" presId="urn:microsoft.com/office/officeart/2005/8/layout/bProcess3"/>
    <dgm:cxn modelId="{74FF4712-5A07-4234-8BFC-99480499D66C}" type="presParOf" srcId="{B22B5C09-9100-436B-9C6F-411082B4F8C2}" destId="{B3E79C7E-4A29-4263-B041-931FD0C9D871}" srcOrd="2" destOrd="0" presId="urn:microsoft.com/office/officeart/2005/8/layout/bProcess3"/>
    <dgm:cxn modelId="{6FD5F7DE-0573-4C34-858D-A3A7C789C204}" type="presParOf" srcId="{B22B5C09-9100-436B-9C6F-411082B4F8C2}" destId="{27F3B7D1-5BB8-40A1-A160-A2A330879F9D}" srcOrd="3" destOrd="0" presId="urn:microsoft.com/office/officeart/2005/8/layout/bProcess3"/>
    <dgm:cxn modelId="{3A0E1FA1-F2A8-4724-9BEC-C5561C3451B3}" type="presParOf" srcId="{27F3B7D1-5BB8-40A1-A160-A2A330879F9D}" destId="{359AC4B4-2C48-4725-8693-760DB93EBC41}" srcOrd="0" destOrd="0" presId="urn:microsoft.com/office/officeart/2005/8/layout/bProcess3"/>
    <dgm:cxn modelId="{42A2BA63-0FD9-483E-A657-CEDADAC3920D}" type="presParOf" srcId="{B22B5C09-9100-436B-9C6F-411082B4F8C2}" destId="{A7D1E759-8F10-4114-A25F-09B2988F608B}" srcOrd="4" destOrd="0" presId="urn:microsoft.com/office/officeart/2005/8/layout/bProcess3"/>
    <dgm:cxn modelId="{F652BE8B-C8C4-49DE-BE33-D8974EA87033}" type="presParOf" srcId="{B22B5C09-9100-436B-9C6F-411082B4F8C2}" destId="{3919D872-B3A3-4EC0-86A5-1AAF43547F09}" srcOrd="5" destOrd="0" presId="urn:microsoft.com/office/officeart/2005/8/layout/bProcess3"/>
    <dgm:cxn modelId="{40C100B1-44F8-4ECA-9DDC-9025732B7B36}" type="presParOf" srcId="{3919D872-B3A3-4EC0-86A5-1AAF43547F09}" destId="{7755FD52-8BF6-42D9-8470-CFA28198F399}" srcOrd="0" destOrd="0" presId="urn:microsoft.com/office/officeart/2005/8/layout/bProcess3"/>
    <dgm:cxn modelId="{937E0ADA-71EF-4CF3-9ABB-9E404DFCB61B}" type="presParOf" srcId="{B22B5C09-9100-436B-9C6F-411082B4F8C2}" destId="{4610F32A-E761-47E9-9B10-D57160F33225}" srcOrd="6" destOrd="0" presId="urn:microsoft.com/office/officeart/2005/8/layout/bProcess3"/>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290941DE-A1DB-46F1-B03D-0105B16E5B2F}" type="doc">
      <dgm:prSet loTypeId="urn:microsoft.com/office/officeart/2005/8/layout/bProcess3" loCatId="process" qsTypeId="urn:microsoft.com/office/officeart/2005/8/quickstyle/simple5" qsCatId="simple" csTypeId="urn:microsoft.com/office/officeart/2005/8/colors/colorful1#4" csCatId="colorful" phldr="1"/>
      <dgm:spPr/>
      <dgm:t>
        <a:bodyPr/>
        <a:lstStyle/>
        <a:p>
          <a:endParaRPr lang="pl-PL"/>
        </a:p>
      </dgm:t>
    </dgm:pt>
    <dgm:pt modelId="{5C412DE9-7057-441A-8C91-C41600E9B5F3}">
      <dgm:prSet phldrT="[Tekst]" custT="1"/>
      <dgm:spPr/>
      <dgm:t>
        <a:bodyPr/>
        <a:lstStyle/>
        <a:p>
          <a:r>
            <a:rPr lang="pl-PL" sz="900" b="1"/>
            <a:t>Uzyskanie stosownych pozwoleń i zezwoleń o ile są wymagane.</a:t>
          </a:r>
          <a:r>
            <a:rPr lang="pl-PL" sz="900"/>
            <a:t>  </a:t>
          </a:r>
          <a:r>
            <a:rPr lang="pl-PL" sz="900" b="1"/>
            <a:t>Przeszkolenia przez uprawnioną instytucję zatrudnianych pracowników, osób kierujących lub nadzorujących prace polegające na zabezpieczaniu i usuwaniu wyrobów zawierających azbest w zakresie bezpieczeństwa i higieny pracy przy zabezpieczaniu i usuwaniu tych wyrobów oraz przestrzegania procedur dotyczących bezpiecznego postępowania.</a:t>
          </a:r>
          <a:endParaRPr lang="pl-PL" sz="900"/>
        </a:p>
      </dgm:t>
    </dgm:pt>
    <dgm:pt modelId="{AE4E9A24-47BD-4690-AF30-14A690F1AA44}" type="parTrans" cxnId="{6F3BD7E1-087F-4CCA-8326-BB6937E70FD0}">
      <dgm:prSet/>
      <dgm:spPr/>
      <dgm:t>
        <a:bodyPr/>
        <a:lstStyle/>
        <a:p>
          <a:endParaRPr lang="pl-PL"/>
        </a:p>
      </dgm:t>
    </dgm:pt>
    <dgm:pt modelId="{81D96DCF-4228-41CA-82CC-25F433DE5C16}" type="sibTrans" cxnId="{6F3BD7E1-087F-4CCA-8326-BB6937E70FD0}">
      <dgm:prSet/>
      <dgm:spPr/>
      <dgm:t>
        <a:bodyPr/>
        <a:lstStyle/>
        <a:p>
          <a:endParaRPr lang="pl-PL"/>
        </a:p>
      </dgm:t>
    </dgm:pt>
    <dgm:pt modelId="{071E8585-3E73-4F0D-BF39-0D93A1C8C681}">
      <dgm:prSet/>
      <dgm:spPr/>
      <dgm:t>
        <a:bodyPr/>
        <a:lstStyle/>
        <a:p>
          <a:r>
            <a:rPr lang="pl-PL" b="1"/>
            <a:t>Przejęcie zlecenia- zawarcia umowy na wykonanie prac usuwania wyrobów, zawierających azbest, wraz z oczyszczaniem miejsca prac z azbestem.</a:t>
          </a:r>
          <a:endParaRPr lang="pl-PL"/>
        </a:p>
      </dgm:t>
    </dgm:pt>
    <dgm:pt modelId="{7AC14C30-0099-47E1-86F8-ED2E90365331}" type="parTrans" cxnId="{7C1CFE76-EF27-4A85-B534-16FD73608D80}">
      <dgm:prSet/>
      <dgm:spPr/>
      <dgm:t>
        <a:bodyPr/>
        <a:lstStyle/>
        <a:p>
          <a:endParaRPr lang="pl-PL"/>
        </a:p>
      </dgm:t>
    </dgm:pt>
    <dgm:pt modelId="{EA65DC71-A253-4079-98C2-1DB653F09656}" type="sibTrans" cxnId="{7C1CFE76-EF27-4A85-B534-16FD73608D80}">
      <dgm:prSet/>
      <dgm:spPr/>
      <dgm:t>
        <a:bodyPr/>
        <a:lstStyle/>
        <a:p>
          <a:endParaRPr lang="pl-PL"/>
        </a:p>
      </dgm:t>
    </dgm:pt>
    <dgm:pt modelId="{730312BD-7AA1-44B1-9D76-3184C5170F58}">
      <dgm:prSet/>
      <dgm:spPr/>
      <dgm:t>
        <a:bodyPr/>
        <a:lstStyle/>
        <a:p>
          <a:r>
            <a:rPr lang="pl-PL" b="1"/>
            <a:t>Określenie stanu środowiska przed przystąpieniem do prac, w tym strefy przyszłych prac.</a:t>
          </a:r>
          <a:endParaRPr lang="pl-PL"/>
        </a:p>
      </dgm:t>
    </dgm:pt>
    <dgm:pt modelId="{5E4ED77C-2A43-4942-B176-8220DC4636DB}" type="parTrans" cxnId="{59CA9DA0-BC5F-4918-BA3C-B687A29D7964}">
      <dgm:prSet/>
      <dgm:spPr/>
      <dgm:t>
        <a:bodyPr/>
        <a:lstStyle/>
        <a:p>
          <a:endParaRPr lang="pl-PL"/>
        </a:p>
      </dgm:t>
    </dgm:pt>
    <dgm:pt modelId="{EF2340CE-7274-4A41-B3D9-9A9BE5A4D87A}" type="sibTrans" cxnId="{59CA9DA0-BC5F-4918-BA3C-B687A29D7964}">
      <dgm:prSet/>
      <dgm:spPr/>
      <dgm:t>
        <a:bodyPr/>
        <a:lstStyle/>
        <a:p>
          <a:endParaRPr lang="pl-PL"/>
        </a:p>
      </dgm:t>
    </dgm:pt>
    <dgm:pt modelId="{D1A96D63-6435-406B-AAA1-DD834F9590D2}">
      <dgm:prSet/>
      <dgm:spPr/>
      <dgm:t>
        <a:bodyPr/>
        <a:lstStyle/>
        <a:p>
          <a:r>
            <a:rPr lang="pl-PL" b="1"/>
            <a:t>Przygotowanie dokumentów ewidencji odpadów.</a:t>
          </a:r>
          <a:endParaRPr lang="pl-PL"/>
        </a:p>
      </dgm:t>
    </dgm:pt>
    <dgm:pt modelId="{228405FB-4401-4C81-B57D-8600070D4630}" type="parTrans" cxnId="{1186C356-AA4C-401E-8550-30DE1CA3654F}">
      <dgm:prSet/>
      <dgm:spPr/>
      <dgm:t>
        <a:bodyPr/>
        <a:lstStyle/>
        <a:p>
          <a:endParaRPr lang="pl-PL"/>
        </a:p>
      </dgm:t>
    </dgm:pt>
    <dgm:pt modelId="{5744942C-8D0E-483E-9230-67C39FF5413A}" type="sibTrans" cxnId="{1186C356-AA4C-401E-8550-30DE1CA3654F}">
      <dgm:prSet/>
      <dgm:spPr/>
      <dgm:t>
        <a:bodyPr/>
        <a:lstStyle/>
        <a:p>
          <a:endParaRPr lang="pl-PL"/>
        </a:p>
      </dgm:t>
    </dgm:pt>
    <dgm:pt modelId="{7E6E47BA-A62E-418C-8AC6-12FE035181BE}">
      <dgm:prSet/>
      <dgm:spPr/>
      <dgm:t>
        <a:bodyPr/>
        <a:lstStyle/>
        <a:p>
          <a:r>
            <a:rPr lang="pl-PL" b="1"/>
            <a:t>Opracowanie planu prac.</a:t>
          </a:r>
          <a:endParaRPr lang="pl-PL"/>
        </a:p>
      </dgm:t>
    </dgm:pt>
    <dgm:pt modelId="{46FEFA24-FD12-47AB-BC2C-920EBB449EAC}" type="parTrans" cxnId="{5DDF37AA-0A66-48AA-A6CC-B090634FB4BB}">
      <dgm:prSet/>
      <dgm:spPr/>
      <dgm:t>
        <a:bodyPr/>
        <a:lstStyle/>
        <a:p>
          <a:endParaRPr lang="pl-PL"/>
        </a:p>
      </dgm:t>
    </dgm:pt>
    <dgm:pt modelId="{81A7DC3A-C1DA-4989-938C-F093CCDEC852}" type="sibTrans" cxnId="{5DDF37AA-0A66-48AA-A6CC-B090634FB4BB}">
      <dgm:prSet/>
      <dgm:spPr/>
      <dgm:t>
        <a:bodyPr/>
        <a:lstStyle/>
        <a:p>
          <a:endParaRPr lang="pl-PL"/>
        </a:p>
      </dgm:t>
    </dgm:pt>
    <dgm:pt modelId="{EED90470-F772-43C0-9A67-2F61F0A5158E}">
      <dgm:prSet/>
      <dgm:spPr/>
      <dgm:t>
        <a:bodyPr/>
        <a:lstStyle/>
        <a:p>
          <a:r>
            <a:rPr lang="pl-PL" b="1"/>
            <a:t>Opracowanie planu bezpieczeństwa i ochrony zdrowia („BIOZ”)</a:t>
          </a:r>
          <a:endParaRPr lang="pl-PL"/>
        </a:p>
      </dgm:t>
    </dgm:pt>
    <dgm:pt modelId="{046DCB86-025F-4F68-B1C4-92CBB6FC8ED3}" type="parTrans" cxnId="{36055605-E78C-454E-BF05-2BDCB5CD6F48}">
      <dgm:prSet/>
      <dgm:spPr/>
      <dgm:t>
        <a:bodyPr/>
        <a:lstStyle/>
        <a:p>
          <a:endParaRPr lang="pl-PL"/>
        </a:p>
      </dgm:t>
    </dgm:pt>
    <dgm:pt modelId="{9FD9EE72-7747-4AED-BF36-3A74F61B4F24}" type="sibTrans" cxnId="{36055605-E78C-454E-BF05-2BDCB5CD6F48}">
      <dgm:prSet/>
      <dgm:spPr/>
      <dgm:t>
        <a:bodyPr/>
        <a:lstStyle/>
        <a:p>
          <a:endParaRPr lang="pl-PL"/>
        </a:p>
      </dgm:t>
    </dgm:pt>
    <dgm:pt modelId="{6EF90803-C57D-4E1C-B56D-A0179806B921}">
      <dgm:prSet/>
      <dgm:spPr/>
      <dgm:t>
        <a:bodyPr/>
        <a:lstStyle/>
        <a:p>
          <a:r>
            <a:rPr lang="pl-PL" b="1"/>
            <a:t>Skompletowanie środków ochrony pracowników.</a:t>
          </a:r>
          <a:endParaRPr lang="pl-PL"/>
        </a:p>
      </dgm:t>
    </dgm:pt>
    <dgm:pt modelId="{8EE11197-FC64-4553-A565-74052F42D607}" type="parTrans" cxnId="{4FA96FF6-79C4-4E09-AAD7-4453B60E3C5B}">
      <dgm:prSet/>
      <dgm:spPr/>
      <dgm:t>
        <a:bodyPr/>
        <a:lstStyle/>
        <a:p>
          <a:endParaRPr lang="pl-PL"/>
        </a:p>
      </dgm:t>
    </dgm:pt>
    <dgm:pt modelId="{DAE72142-3B23-4B66-AC3C-4B172B4ABD64}" type="sibTrans" cxnId="{4FA96FF6-79C4-4E09-AAD7-4453B60E3C5B}">
      <dgm:prSet/>
      <dgm:spPr/>
      <dgm:t>
        <a:bodyPr/>
        <a:lstStyle/>
        <a:p>
          <a:endParaRPr lang="pl-PL"/>
        </a:p>
      </dgm:t>
    </dgm:pt>
    <dgm:pt modelId="{CE3B3BD3-35DC-425B-96C9-94650FF5DC1C}">
      <dgm:prSet/>
      <dgm:spPr/>
      <dgm:t>
        <a:bodyPr/>
        <a:lstStyle/>
        <a:p>
          <a:r>
            <a:rPr lang="pl-PL" b="1"/>
            <a:t>Przygotowanie miejsca i wskazanie tymczasowego sposobu magazynowania odpadów.</a:t>
          </a:r>
          <a:endParaRPr lang="pl-PL"/>
        </a:p>
      </dgm:t>
    </dgm:pt>
    <dgm:pt modelId="{42968BFC-4BDC-4949-BF44-965904858139}" type="parTrans" cxnId="{A516CDE2-B845-490B-8227-F9DDEEA9C291}">
      <dgm:prSet/>
      <dgm:spPr/>
      <dgm:t>
        <a:bodyPr/>
        <a:lstStyle/>
        <a:p>
          <a:endParaRPr lang="pl-PL"/>
        </a:p>
      </dgm:t>
    </dgm:pt>
    <dgm:pt modelId="{DC22C0ED-75C6-4214-860E-3F6DDA76183E}" type="sibTrans" cxnId="{A516CDE2-B845-490B-8227-F9DDEEA9C291}">
      <dgm:prSet/>
      <dgm:spPr/>
      <dgm:t>
        <a:bodyPr/>
        <a:lstStyle/>
        <a:p>
          <a:endParaRPr lang="pl-PL"/>
        </a:p>
      </dgm:t>
    </dgm:pt>
    <dgm:pt modelId="{6587D3C4-F0A2-462E-A0A3-E83E537F68A4}">
      <dgm:prSet/>
      <dgm:spPr/>
      <dgm:t>
        <a:bodyPr/>
        <a:lstStyle/>
        <a:p>
          <a:r>
            <a:rPr lang="pl-PL" b="1"/>
            <a:t>Zawarcie porozumienia z zarządzającym składowiskiem odpowiednim dla odpadów zawierających azbest.</a:t>
          </a:r>
          <a:endParaRPr lang="pl-PL"/>
        </a:p>
      </dgm:t>
    </dgm:pt>
    <dgm:pt modelId="{98C157E5-169B-4D4E-BC76-BB15CA8E7D0F}" type="parTrans" cxnId="{F145FF4A-9DFB-4AB3-B97C-3D19322CE439}">
      <dgm:prSet/>
      <dgm:spPr/>
      <dgm:t>
        <a:bodyPr/>
        <a:lstStyle/>
        <a:p>
          <a:endParaRPr lang="pl-PL"/>
        </a:p>
      </dgm:t>
    </dgm:pt>
    <dgm:pt modelId="{A7137AD7-BF6E-4155-A15D-F4ED5A0765AA}" type="sibTrans" cxnId="{F145FF4A-9DFB-4AB3-B97C-3D19322CE439}">
      <dgm:prSet/>
      <dgm:spPr/>
      <dgm:t>
        <a:bodyPr/>
        <a:lstStyle/>
        <a:p>
          <a:endParaRPr lang="pl-PL"/>
        </a:p>
      </dgm:t>
    </dgm:pt>
    <dgm:pt modelId="{D5104C7D-B733-483C-B543-25F0C71C08D9}">
      <dgm:prSet/>
      <dgm:spPr/>
      <dgm:t>
        <a:bodyPr/>
        <a:lstStyle/>
        <a:p>
          <a:r>
            <a:rPr lang="pl-PL" b="1"/>
            <a:t>Przygotowanie rejestru pracowników narażonych na działanie azbestu.</a:t>
          </a:r>
          <a:endParaRPr lang="pl-PL"/>
        </a:p>
      </dgm:t>
    </dgm:pt>
    <dgm:pt modelId="{580CC0F5-7D8C-4F70-B8B3-399C447D6720}" type="parTrans" cxnId="{66064F36-5A12-4666-B178-55F0E06B8EEE}">
      <dgm:prSet/>
      <dgm:spPr/>
      <dgm:t>
        <a:bodyPr/>
        <a:lstStyle/>
        <a:p>
          <a:endParaRPr lang="pl-PL"/>
        </a:p>
      </dgm:t>
    </dgm:pt>
    <dgm:pt modelId="{30BDA964-2C35-4681-90A6-133A70FF207F}" type="sibTrans" cxnId="{66064F36-5A12-4666-B178-55F0E06B8EEE}">
      <dgm:prSet/>
      <dgm:spPr/>
      <dgm:t>
        <a:bodyPr/>
        <a:lstStyle/>
        <a:p>
          <a:endParaRPr lang="pl-PL"/>
        </a:p>
      </dgm:t>
    </dgm:pt>
    <dgm:pt modelId="{4778822F-2A1D-48CB-A070-6EEADEE9FF07}">
      <dgm:prSet/>
      <dgm:spPr/>
      <dgm:t>
        <a:bodyPr/>
        <a:lstStyle/>
        <a:p>
          <a:r>
            <a:rPr lang="pl-PL" b="1"/>
            <a:t>Skompletowanie wyposażenia technicznego</a:t>
          </a:r>
          <a:endParaRPr lang="pl-PL"/>
        </a:p>
      </dgm:t>
    </dgm:pt>
    <dgm:pt modelId="{0391DD43-818A-4747-B342-FF3832BE3EF3}" type="parTrans" cxnId="{775C1244-62E8-4FA0-89FE-67A3CC9C23FF}">
      <dgm:prSet/>
      <dgm:spPr/>
      <dgm:t>
        <a:bodyPr/>
        <a:lstStyle/>
        <a:p>
          <a:endParaRPr lang="pl-PL"/>
        </a:p>
      </dgm:t>
    </dgm:pt>
    <dgm:pt modelId="{96986AF6-BAD6-42E5-9679-F90463B9FC56}" type="sibTrans" cxnId="{775C1244-62E8-4FA0-89FE-67A3CC9C23FF}">
      <dgm:prSet/>
      <dgm:spPr/>
      <dgm:t>
        <a:bodyPr/>
        <a:lstStyle/>
        <a:p>
          <a:endParaRPr lang="pl-PL"/>
        </a:p>
      </dgm:t>
    </dgm:pt>
    <dgm:pt modelId="{BD597262-2D72-4A4C-A33A-EAE72CD582DA}">
      <dgm:prSet/>
      <dgm:spPr/>
      <dgm:t>
        <a:bodyPr/>
        <a:lstStyle/>
        <a:p>
          <a:r>
            <a:rPr lang="pl-PL" b="1"/>
            <a:t>Organizacja zaplecza socjalnego i bhp.</a:t>
          </a:r>
          <a:endParaRPr lang="pl-PL"/>
        </a:p>
      </dgm:t>
    </dgm:pt>
    <dgm:pt modelId="{A8966B84-31FE-46E4-ACD4-964DC0DDE5D2}" type="parTrans" cxnId="{D2129415-D6EF-4189-A0EE-0BA0006146A4}">
      <dgm:prSet/>
      <dgm:spPr/>
      <dgm:t>
        <a:bodyPr/>
        <a:lstStyle/>
        <a:p>
          <a:endParaRPr lang="pl-PL"/>
        </a:p>
      </dgm:t>
    </dgm:pt>
    <dgm:pt modelId="{9F49BABF-B3AA-4471-91BA-2EE5DA1D07CE}" type="sibTrans" cxnId="{D2129415-D6EF-4189-A0EE-0BA0006146A4}">
      <dgm:prSet/>
      <dgm:spPr/>
      <dgm:t>
        <a:bodyPr/>
        <a:lstStyle/>
        <a:p>
          <a:endParaRPr lang="pl-PL"/>
        </a:p>
      </dgm:t>
    </dgm:pt>
    <dgm:pt modelId="{1084BFBC-E461-46E9-8FAC-35BBD0CBB72D}">
      <dgm:prSet/>
      <dgm:spPr/>
      <dgm:t>
        <a:bodyPr/>
        <a:lstStyle/>
        <a:p>
          <a:r>
            <a:rPr lang="pl-PL" b="1"/>
            <a:t>Zawarcie umowy z laboratorium o prowadzenie monitoringu powietrza.</a:t>
          </a:r>
          <a:endParaRPr lang="pl-PL"/>
        </a:p>
      </dgm:t>
    </dgm:pt>
    <dgm:pt modelId="{24270760-3FBC-4D42-8401-94F7FAB65B8D}" type="parTrans" cxnId="{89D3628E-2372-4899-9CB6-BCF01E2AC158}">
      <dgm:prSet/>
      <dgm:spPr/>
      <dgm:t>
        <a:bodyPr/>
        <a:lstStyle/>
        <a:p>
          <a:endParaRPr lang="pl-PL"/>
        </a:p>
      </dgm:t>
    </dgm:pt>
    <dgm:pt modelId="{ED146788-1EBD-4F40-8298-10D1685C9F3D}" type="sibTrans" cxnId="{89D3628E-2372-4899-9CB6-BCF01E2AC158}">
      <dgm:prSet/>
      <dgm:spPr/>
      <dgm:t>
        <a:bodyPr/>
        <a:lstStyle/>
        <a:p>
          <a:endParaRPr lang="pl-PL"/>
        </a:p>
      </dgm:t>
    </dgm:pt>
    <dgm:pt modelId="{B22B5C09-9100-436B-9C6F-411082B4F8C2}" type="pres">
      <dgm:prSet presAssocID="{290941DE-A1DB-46F1-B03D-0105B16E5B2F}" presName="Name0" presStyleCnt="0">
        <dgm:presLayoutVars>
          <dgm:dir/>
          <dgm:resizeHandles val="exact"/>
        </dgm:presLayoutVars>
      </dgm:prSet>
      <dgm:spPr/>
    </dgm:pt>
    <dgm:pt modelId="{EBA11BF1-986E-4536-98A8-364577EA7B9B}" type="pres">
      <dgm:prSet presAssocID="{5C412DE9-7057-441A-8C91-C41600E9B5F3}" presName="node" presStyleLbl="node1" presStyleIdx="0" presStyleCnt="13" custScaleX="133394" custScaleY="135606">
        <dgm:presLayoutVars>
          <dgm:bulletEnabled val="1"/>
        </dgm:presLayoutVars>
      </dgm:prSet>
      <dgm:spPr/>
    </dgm:pt>
    <dgm:pt modelId="{1181FD1E-08FA-488E-9FCC-9319D142F28E}" type="pres">
      <dgm:prSet presAssocID="{81D96DCF-4228-41CA-82CC-25F433DE5C16}" presName="sibTrans" presStyleLbl="sibTrans1D1" presStyleIdx="0" presStyleCnt="12"/>
      <dgm:spPr/>
    </dgm:pt>
    <dgm:pt modelId="{E81B558C-CBBF-4E50-A46D-4F8BD0C4988A}" type="pres">
      <dgm:prSet presAssocID="{81D96DCF-4228-41CA-82CC-25F433DE5C16}" presName="connectorText" presStyleLbl="sibTrans1D1" presStyleIdx="0" presStyleCnt="12"/>
      <dgm:spPr/>
    </dgm:pt>
    <dgm:pt modelId="{B3E79C7E-4A29-4263-B041-931FD0C9D871}" type="pres">
      <dgm:prSet presAssocID="{071E8585-3E73-4F0D-BF39-0D93A1C8C681}" presName="node" presStyleLbl="node1" presStyleIdx="1" presStyleCnt="13">
        <dgm:presLayoutVars>
          <dgm:bulletEnabled val="1"/>
        </dgm:presLayoutVars>
      </dgm:prSet>
      <dgm:spPr/>
    </dgm:pt>
    <dgm:pt modelId="{27F3B7D1-5BB8-40A1-A160-A2A330879F9D}" type="pres">
      <dgm:prSet presAssocID="{EA65DC71-A253-4079-98C2-1DB653F09656}" presName="sibTrans" presStyleLbl="sibTrans1D1" presStyleIdx="1" presStyleCnt="12"/>
      <dgm:spPr/>
    </dgm:pt>
    <dgm:pt modelId="{359AC4B4-2C48-4725-8693-760DB93EBC41}" type="pres">
      <dgm:prSet presAssocID="{EA65DC71-A253-4079-98C2-1DB653F09656}" presName="connectorText" presStyleLbl="sibTrans1D1" presStyleIdx="1" presStyleCnt="12"/>
      <dgm:spPr/>
    </dgm:pt>
    <dgm:pt modelId="{A7D1E759-8F10-4114-A25F-09B2988F608B}" type="pres">
      <dgm:prSet presAssocID="{730312BD-7AA1-44B1-9D76-3184C5170F58}" presName="node" presStyleLbl="node1" presStyleIdx="2" presStyleCnt="13">
        <dgm:presLayoutVars>
          <dgm:bulletEnabled val="1"/>
        </dgm:presLayoutVars>
      </dgm:prSet>
      <dgm:spPr/>
    </dgm:pt>
    <dgm:pt modelId="{3919D872-B3A3-4EC0-86A5-1AAF43547F09}" type="pres">
      <dgm:prSet presAssocID="{EF2340CE-7274-4A41-B3D9-9A9BE5A4D87A}" presName="sibTrans" presStyleLbl="sibTrans1D1" presStyleIdx="2" presStyleCnt="12"/>
      <dgm:spPr/>
    </dgm:pt>
    <dgm:pt modelId="{7755FD52-8BF6-42D9-8470-CFA28198F399}" type="pres">
      <dgm:prSet presAssocID="{EF2340CE-7274-4A41-B3D9-9A9BE5A4D87A}" presName="connectorText" presStyleLbl="sibTrans1D1" presStyleIdx="2" presStyleCnt="12"/>
      <dgm:spPr/>
    </dgm:pt>
    <dgm:pt modelId="{4610F32A-E761-47E9-9B10-D57160F33225}" type="pres">
      <dgm:prSet presAssocID="{D1A96D63-6435-406B-AAA1-DD834F9590D2}" presName="node" presStyleLbl="node1" presStyleIdx="3" presStyleCnt="13" custLinFactNeighborX="-3856" custLinFactNeighborY="51">
        <dgm:presLayoutVars>
          <dgm:bulletEnabled val="1"/>
        </dgm:presLayoutVars>
      </dgm:prSet>
      <dgm:spPr/>
    </dgm:pt>
    <dgm:pt modelId="{FDB34492-2D1A-4520-8349-3FD5D6145923}" type="pres">
      <dgm:prSet presAssocID="{5744942C-8D0E-483E-9230-67C39FF5413A}" presName="sibTrans" presStyleLbl="sibTrans1D1" presStyleIdx="3" presStyleCnt="12"/>
      <dgm:spPr/>
    </dgm:pt>
    <dgm:pt modelId="{98D6B273-95BE-4D94-98E7-BE92CBA0AEA7}" type="pres">
      <dgm:prSet presAssocID="{5744942C-8D0E-483E-9230-67C39FF5413A}" presName="connectorText" presStyleLbl="sibTrans1D1" presStyleIdx="3" presStyleCnt="12"/>
      <dgm:spPr/>
    </dgm:pt>
    <dgm:pt modelId="{6BAA4831-CB5F-41DD-8D1A-10986123DE23}" type="pres">
      <dgm:prSet presAssocID="{7E6E47BA-A62E-418C-8AC6-12FE035181BE}" presName="node" presStyleLbl="node1" presStyleIdx="4" presStyleCnt="13">
        <dgm:presLayoutVars>
          <dgm:bulletEnabled val="1"/>
        </dgm:presLayoutVars>
      </dgm:prSet>
      <dgm:spPr/>
    </dgm:pt>
    <dgm:pt modelId="{6F9440A1-7030-493F-A639-FE0615E77D15}" type="pres">
      <dgm:prSet presAssocID="{81A7DC3A-C1DA-4989-938C-F093CCDEC852}" presName="sibTrans" presStyleLbl="sibTrans1D1" presStyleIdx="4" presStyleCnt="12"/>
      <dgm:spPr/>
    </dgm:pt>
    <dgm:pt modelId="{7D09C119-E708-4137-AF05-2068D328EB18}" type="pres">
      <dgm:prSet presAssocID="{81A7DC3A-C1DA-4989-938C-F093CCDEC852}" presName="connectorText" presStyleLbl="sibTrans1D1" presStyleIdx="4" presStyleCnt="12"/>
      <dgm:spPr/>
    </dgm:pt>
    <dgm:pt modelId="{E81F043A-D6B4-4185-8C33-AF5DDDB9B3FF}" type="pres">
      <dgm:prSet presAssocID="{EED90470-F772-43C0-9A67-2F61F0A5158E}" presName="node" presStyleLbl="node1" presStyleIdx="5" presStyleCnt="13">
        <dgm:presLayoutVars>
          <dgm:bulletEnabled val="1"/>
        </dgm:presLayoutVars>
      </dgm:prSet>
      <dgm:spPr/>
    </dgm:pt>
    <dgm:pt modelId="{725237AA-0124-4536-8D7B-52FBB1F5BC7A}" type="pres">
      <dgm:prSet presAssocID="{9FD9EE72-7747-4AED-BF36-3A74F61B4F24}" presName="sibTrans" presStyleLbl="sibTrans1D1" presStyleIdx="5" presStyleCnt="12"/>
      <dgm:spPr/>
    </dgm:pt>
    <dgm:pt modelId="{1E2DF75C-AFD3-4A59-A43D-07260BB68F05}" type="pres">
      <dgm:prSet presAssocID="{9FD9EE72-7747-4AED-BF36-3A74F61B4F24}" presName="connectorText" presStyleLbl="sibTrans1D1" presStyleIdx="5" presStyleCnt="12"/>
      <dgm:spPr/>
    </dgm:pt>
    <dgm:pt modelId="{F54D4DB2-3349-4F00-8B15-6591602A5E9C}" type="pres">
      <dgm:prSet presAssocID="{6EF90803-C57D-4E1C-B56D-A0179806B921}" presName="node" presStyleLbl="node1" presStyleIdx="6" presStyleCnt="13">
        <dgm:presLayoutVars>
          <dgm:bulletEnabled val="1"/>
        </dgm:presLayoutVars>
      </dgm:prSet>
      <dgm:spPr/>
    </dgm:pt>
    <dgm:pt modelId="{C0D17A1F-9EAB-4D12-817B-73219D8FDE16}" type="pres">
      <dgm:prSet presAssocID="{DAE72142-3B23-4B66-AC3C-4B172B4ABD64}" presName="sibTrans" presStyleLbl="sibTrans1D1" presStyleIdx="6" presStyleCnt="12"/>
      <dgm:spPr/>
    </dgm:pt>
    <dgm:pt modelId="{6D4FAAC2-10A2-4D9F-BBFD-AC277B4925AE}" type="pres">
      <dgm:prSet presAssocID="{DAE72142-3B23-4B66-AC3C-4B172B4ABD64}" presName="connectorText" presStyleLbl="sibTrans1D1" presStyleIdx="6" presStyleCnt="12"/>
      <dgm:spPr/>
    </dgm:pt>
    <dgm:pt modelId="{88DE9C6C-6D49-43CF-8385-A41F6FA671BB}" type="pres">
      <dgm:prSet presAssocID="{CE3B3BD3-35DC-425B-96C9-94650FF5DC1C}" presName="node" presStyleLbl="node1" presStyleIdx="7" presStyleCnt="13" custLinFactNeighborX="968" custLinFactNeighborY="-32">
        <dgm:presLayoutVars>
          <dgm:bulletEnabled val="1"/>
        </dgm:presLayoutVars>
      </dgm:prSet>
      <dgm:spPr/>
    </dgm:pt>
    <dgm:pt modelId="{67754DB0-79EE-4FD0-AFF3-EC4D2F9BFDEA}" type="pres">
      <dgm:prSet presAssocID="{DC22C0ED-75C6-4214-860E-3F6DDA76183E}" presName="sibTrans" presStyleLbl="sibTrans1D1" presStyleIdx="7" presStyleCnt="12"/>
      <dgm:spPr/>
    </dgm:pt>
    <dgm:pt modelId="{33CD3A3D-F9E5-4AF3-8B90-78D0C5EB3772}" type="pres">
      <dgm:prSet presAssocID="{DC22C0ED-75C6-4214-860E-3F6DDA76183E}" presName="connectorText" presStyleLbl="sibTrans1D1" presStyleIdx="7" presStyleCnt="12"/>
      <dgm:spPr/>
    </dgm:pt>
    <dgm:pt modelId="{8742F127-F384-4D8B-96AE-61E306EE3B88}" type="pres">
      <dgm:prSet presAssocID="{6587D3C4-F0A2-462E-A0A3-E83E537F68A4}" presName="node" presStyleLbl="node1" presStyleIdx="8" presStyleCnt="13" custLinFactNeighborX="5612" custLinFactNeighborY="32">
        <dgm:presLayoutVars>
          <dgm:bulletEnabled val="1"/>
        </dgm:presLayoutVars>
      </dgm:prSet>
      <dgm:spPr/>
    </dgm:pt>
    <dgm:pt modelId="{3DC71C58-DDCE-4D62-A700-3BFE79F0DC82}" type="pres">
      <dgm:prSet presAssocID="{A7137AD7-BF6E-4155-A15D-F4ED5A0765AA}" presName="sibTrans" presStyleLbl="sibTrans1D1" presStyleIdx="8" presStyleCnt="12"/>
      <dgm:spPr/>
    </dgm:pt>
    <dgm:pt modelId="{04D99072-AD68-4EA0-AD0A-65D7AC6C955A}" type="pres">
      <dgm:prSet presAssocID="{A7137AD7-BF6E-4155-A15D-F4ED5A0765AA}" presName="connectorText" presStyleLbl="sibTrans1D1" presStyleIdx="8" presStyleCnt="12"/>
      <dgm:spPr/>
    </dgm:pt>
    <dgm:pt modelId="{AE06BB4B-262E-4478-9F4F-265D572ACAB8}" type="pres">
      <dgm:prSet presAssocID="{D5104C7D-B733-483C-B543-25F0C71C08D9}" presName="node" presStyleLbl="node1" presStyleIdx="9" presStyleCnt="13">
        <dgm:presLayoutVars>
          <dgm:bulletEnabled val="1"/>
        </dgm:presLayoutVars>
      </dgm:prSet>
      <dgm:spPr/>
    </dgm:pt>
    <dgm:pt modelId="{7DE1EED2-803A-4C9D-8EC1-5BB8738BFF1F}" type="pres">
      <dgm:prSet presAssocID="{30BDA964-2C35-4681-90A6-133A70FF207F}" presName="sibTrans" presStyleLbl="sibTrans1D1" presStyleIdx="9" presStyleCnt="12"/>
      <dgm:spPr/>
    </dgm:pt>
    <dgm:pt modelId="{34341393-06D3-4DBE-97DE-AC2027E32903}" type="pres">
      <dgm:prSet presAssocID="{30BDA964-2C35-4681-90A6-133A70FF207F}" presName="connectorText" presStyleLbl="sibTrans1D1" presStyleIdx="9" presStyleCnt="12"/>
      <dgm:spPr/>
    </dgm:pt>
    <dgm:pt modelId="{542867BD-242A-4C21-B9FB-B1293AC61993}" type="pres">
      <dgm:prSet presAssocID="{4778822F-2A1D-48CB-A070-6EEADEE9FF07}" presName="node" presStyleLbl="node1" presStyleIdx="10" presStyleCnt="13" custLinFactNeighborX="-5037">
        <dgm:presLayoutVars>
          <dgm:bulletEnabled val="1"/>
        </dgm:presLayoutVars>
      </dgm:prSet>
      <dgm:spPr/>
    </dgm:pt>
    <dgm:pt modelId="{55EB97E7-F975-4624-B1D3-EE0EE045AB7D}" type="pres">
      <dgm:prSet presAssocID="{96986AF6-BAD6-42E5-9679-F90463B9FC56}" presName="sibTrans" presStyleLbl="sibTrans1D1" presStyleIdx="10" presStyleCnt="12"/>
      <dgm:spPr/>
    </dgm:pt>
    <dgm:pt modelId="{48CAEE44-F904-4A81-BA87-D4ECD4DA8AD3}" type="pres">
      <dgm:prSet presAssocID="{96986AF6-BAD6-42E5-9679-F90463B9FC56}" presName="connectorText" presStyleLbl="sibTrans1D1" presStyleIdx="10" presStyleCnt="12"/>
      <dgm:spPr/>
    </dgm:pt>
    <dgm:pt modelId="{889388C0-FBDB-48D4-9C8F-4923ED45E189}" type="pres">
      <dgm:prSet presAssocID="{BD597262-2D72-4A4C-A33A-EAE72CD582DA}" presName="node" presStyleLbl="node1" presStyleIdx="11" presStyleCnt="13">
        <dgm:presLayoutVars>
          <dgm:bulletEnabled val="1"/>
        </dgm:presLayoutVars>
      </dgm:prSet>
      <dgm:spPr/>
    </dgm:pt>
    <dgm:pt modelId="{891873A5-9A30-40C8-92C2-DBC5CC024CD2}" type="pres">
      <dgm:prSet presAssocID="{9F49BABF-B3AA-4471-91BA-2EE5DA1D07CE}" presName="sibTrans" presStyleLbl="sibTrans1D1" presStyleIdx="11" presStyleCnt="12"/>
      <dgm:spPr/>
    </dgm:pt>
    <dgm:pt modelId="{08031F0E-0BE0-4827-A4CE-4FA7AABCB8A9}" type="pres">
      <dgm:prSet presAssocID="{9F49BABF-B3AA-4471-91BA-2EE5DA1D07CE}" presName="connectorText" presStyleLbl="sibTrans1D1" presStyleIdx="11" presStyleCnt="12"/>
      <dgm:spPr/>
    </dgm:pt>
    <dgm:pt modelId="{41B517D4-BF93-4BC9-953F-C130DA067DBB}" type="pres">
      <dgm:prSet presAssocID="{1084BFBC-E461-46E9-8FAC-35BBD0CBB72D}" presName="node" presStyleLbl="node1" presStyleIdx="12" presStyleCnt="13" custLinFactNeighborY="-909">
        <dgm:presLayoutVars>
          <dgm:bulletEnabled val="1"/>
        </dgm:presLayoutVars>
      </dgm:prSet>
      <dgm:spPr/>
    </dgm:pt>
  </dgm:ptLst>
  <dgm:cxnLst>
    <dgm:cxn modelId="{0008FA02-D8DE-46A4-A89E-4E2B7AC44174}" type="presOf" srcId="{BD597262-2D72-4A4C-A33A-EAE72CD582DA}" destId="{889388C0-FBDB-48D4-9C8F-4923ED45E189}" srcOrd="0" destOrd="0" presId="urn:microsoft.com/office/officeart/2005/8/layout/bProcess3"/>
    <dgm:cxn modelId="{36055605-E78C-454E-BF05-2BDCB5CD6F48}" srcId="{290941DE-A1DB-46F1-B03D-0105B16E5B2F}" destId="{EED90470-F772-43C0-9A67-2F61F0A5158E}" srcOrd="5" destOrd="0" parTransId="{046DCB86-025F-4F68-B1C4-92CBB6FC8ED3}" sibTransId="{9FD9EE72-7747-4AED-BF36-3A74F61B4F24}"/>
    <dgm:cxn modelId="{0A92270A-B429-4D74-9A76-CEF296D0ECB8}" type="presOf" srcId="{D5104C7D-B733-483C-B543-25F0C71C08D9}" destId="{AE06BB4B-262E-4478-9F4F-265D572ACAB8}" srcOrd="0" destOrd="0" presId="urn:microsoft.com/office/officeart/2005/8/layout/bProcess3"/>
    <dgm:cxn modelId="{8FE7670C-8A08-4730-B2BD-15DC90D562B2}" type="presOf" srcId="{96986AF6-BAD6-42E5-9679-F90463B9FC56}" destId="{55EB97E7-F975-4624-B1D3-EE0EE045AB7D}" srcOrd="0" destOrd="0" presId="urn:microsoft.com/office/officeart/2005/8/layout/bProcess3"/>
    <dgm:cxn modelId="{C50B4A0E-9FF3-4366-AFB6-ED2F150191D0}" type="presOf" srcId="{81D96DCF-4228-41CA-82CC-25F433DE5C16}" destId="{E81B558C-CBBF-4E50-A46D-4F8BD0C4988A}" srcOrd="1" destOrd="0" presId="urn:microsoft.com/office/officeart/2005/8/layout/bProcess3"/>
    <dgm:cxn modelId="{F328A911-82C4-4EF4-BC6B-27A4FEC17EE5}" type="presOf" srcId="{81D96DCF-4228-41CA-82CC-25F433DE5C16}" destId="{1181FD1E-08FA-488E-9FCC-9319D142F28E}" srcOrd="0" destOrd="0" presId="urn:microsoft.com/office/officeart/2005/8/layout/bProcess3"/>
    <dgm:cxn modelId="{D2129415-D6EF-4189-A0EE-0BA0006146A4}" srcId="{290941DE-A1DB-46F1-B03D-0105B16E5B2F}" destId="{BD597262-2D72-4A4C-A33A-EAE72CD582DA}" srcOrd="11" destOrd="0" parTransId="{A8966B84-31FE-46E4-ACD4-964DC0DDE5D2}" sibTransId="{9F49BABF-B3AA-4471-91BA-2EE5DA1D07CE}"/>
    <dgm:cxn modelId="{EB44C21B-31CD-48F6-B37F-BC7CC8839799}" type="presOf" srcId="{EA65DC71-A253-4079-98C2-1DB653F09656}" destId="{27F3B7D1-5BB8-40A1-A160-A2A330879F9D}" srcOrd="0" destOrd="0" presId="urn:microsoft.com/office/officeart/2005/8/layout/bProcess3"/>
    <dgm:cxn modelId="{2DE02E1C-B3A9-4ABE-A5EA-40CFAB7D3935}" type="presOf" srcId="{290941DE-A1DB-46F1-B03D-0105B16E5B2F}" destId="{B22B5C09-9100-436B-9C6F-411082B4F8C2}" srcOrd="0" destOrd="0" presId="urn:microsoft.com/office/officeart/2005/8/layout/bProcess3"/>
    <dgm:cxn modelId="{67231B27-FED1-42B9-B41F-DB8CC230F661}" type="presOf" srcId="{1084BFBC-E461-46E9-8FAC-35BBD0CBB72D}" destId="{41B517D4-BF93-4BC9-953F-C130DA067DBB}" srcOrd="0" destOrd="0" presId="urn:microsoft.com/office/officeart/2005/8/layout/bProcess3"/>
    <dgm:cxn modelId="{3613692F-931B-455A-9516-D9728BBACFF1}" type="presOf" srcId="{30BDA964-2C35-4681-90A6-133A70FF207F}" destId="{7DE1EED2-803A-4C9D-8EC1-5BB8738BFF1F}" srcOrd="0" destOrd="0" presId="urn:microsoft.com/office/officeart/2005/8/layout/bProcess3"/>
    <dgm:cxn modelId="{C082C92F-FF87-4F5A-83B4-5B35E769A694}" type="presOf" srcId="{6EF90803-C57D-4E1C-B56D-A0179806B921}" destId="{F54D4DB2-3349-4F00-8B15-6591602A5E9C}" srcOrd="0" destOrd="0" presId="urn:microsoft.com/office/officeart/2005/8/layout/bProcess3"/>
    <dgm:cxn modelId="{66064F36-5A12-4666-B178-55F0E06B8EEE}" srcId="{290941DE-A1DB-46F1-B03D-0105B16E5B2F}" destId="{D5104C7D-B733-483C-B543-25F0C71C08D9}" srcOrd="9" destOrd="0" parTransId="{580CC0F5-7D8C-4F70-B8B3-399C447D6720}" sibTransId="{30BDA964-2C35-4681-90A6-133A70FF207F}"/>
    <dgm:cxn modelId="{80625436-6E3C-40A5-84F0-0060571B68B7}" type="presOf" srcId="{5C412DE9-7057-441A-8C91-C41600E9B5F3}" destId="{EBA11BF1-986E-4536-98A8-364577EA7B9B}" srcOrd="0" destOrd="0" presId="urn:microsoft.com/office/officeart/2005/8/layout/bProcess3"/>
    <dgm:cxn modelId="{4313E63E-0B47-4EA3-A793-638916835C67}" type="presOf" srcId="{30BDA964-2C35-4681-90A6-133A70FF207F}" destId="{34341393-06D3-4DBE-97DE-AC2027E32903}" srcOrd="1" destOrd="0" presId="urn:microsoft.com/office/officeart/2005/8/layout/bProcess3"/>
    <dgm:cxn modelId="{3C896D5B-5462-4965-99CC-CA9C0DFF7B5F}" type="presOf" srcId="{EA65DC71-A253-4079-98C2-1DB653F09656}" destId="{359AC4B4-2C48-4725-8693-760DB93EBC41}" srcOrd="1" destOrd="0" presId="urn:microsoft.com/office/officeart/2005/8/layout/bProcess3"/>
    <dgm:cxn modelId="{775C1244-62E8-4FA0-89FE-67A3CC9C23FF}" srcId="{290941DE-A1DB-46F1-B03D-0105B16E5B2F}" destId="{4778822F-2A1D-48CB-A070-6EEADEE9FF07}" srcOrd="10" destOrd="0" parTransId="{0391DD43-818A-4747-B342-FF3832BE3EF3}" sibTransId="{96986AF6-BAD6-42E5-9679-F90463B9FC56}"/>
    <dgm:cxn modelId="{6D6DA067-B439-4433-A060-FB2B0E1BFBDA}" type="presOf" srcId="{6587D3C4-F0A2-462E-A0A3-E83E537F68A4}" destId="{8742F127-F384-4D8B-96AE-61E306EE3B88}" srcOrd="0" destOrd="0" presId="urn:microsoft.com/office/officeart/2005/8/layout/bProcess3"/>
    <dgm:cxn modelId="{B5E6B648-0F60-4784-B2BA-873D24E42CC0}" type="presOf" srcId="{730312BD-7AA1-44B1-9D76-3184C5170F58}" destId="{A7D1E759-8F10-4114-A25F-09B2988F608B}" srcOrd="0" destOrd="0" presId="urn:microsoft.com/office/officeart/2005/8/layout/bProcess3"/>
    <dgm:cxn modelId="{710D576A-CB11-45F4-B16A-138AEADEF65D}" type="presOf" srcId="{5744942C-8D0E-483E-9230-67C39FF5413A}" destId="{FDB34492-2D1A-4520-8349-3FD5D6145923}" srcOrd="0" destOrd="0" presId="urn:microsoft.com/office/officeart/2005/8/layout/bProcess3"/>
    <dgm:cxn modelId="{F145FF4A-9DFB-4AB3-B97C-3D19322CE439}" srcId="{290941DE-A1DB-46F1-B03D-0105B16E5B2F}" destId="{6587D3C4-F0A2-462E-A0A3-E83E537F68A4}" srcOrd="8" destOrd="0" parTransId="{98C157E5-169B-4D4E-BC76-BB15CA8E7D0F}" sibTransId="{A7137AD7-BF6E-4155-A15D-F4ED5A0765AA}"/>
    <dgm:cxn modelId="{9BAA7274-CD97-4A96-925B-855FE2B2F77E}" type="presOf" srcId="{071E8585-3E73-4F0D-BF39-0D93A1C8C681}" destId="{B3E79C7E-4A29-4263-B041-931FD0C9D871}" srcOrd="0" destOrd="0" presId="urn:microsoft.com/office/officeart/2005/8/layout/bProcess3"/>
    <dgm:cxn modelId="{D21E0E55-2DF1-479C-8896-9355AC46B149}" type="presOf" srcId="{EF2340CE-7274-4A41-B3D9-9A9BE5A4D87A}" destId="{7755FD52-8BF6-42D9-8470-CFA28198F399}" srcOrd="1" destOrd="0" presId="urn:microsoft.com/office/officeart/2005/8/layout/bProcess3"/>
    <dgm:cxn modelId="{19E6F475-1599-4BDB-92D6-6DFC7825C3F4}" type="presOf" srcId="{A7137AD7-BF6E-4155-A15D-F4ED5A0765AA}" destId="{04D99072-AD68-4EA0-AD0A-65D7AC6C955A}" srcOrd="1" destOrd="0" presId="urn:microsoft.com/office/officeart/2005/8/layout/bProcess3"/>
    <dgm:cxn modelId="{EF692E76-E9E4-47EA-8CED-F4AAF0CCFBB0}" type="presOf" srcId="{EF2340CE-7274-4A41-B3D9-9A9BE5A4D87A}" destId="{3919D872-B3A3-4EC0-86A5-1AAF43547F09}" srcOrd="0" destOrd="0" presId="urn:microsoft.com/office/officeart/2005/8/layout/bProcess3"/>
    <dgm:cxn modelId="{1186C356-AA4C-401E-8550-30DE1CA3654F}" srcId="{290941DE-A1DB-46F1-B03D-0105B16E5B2F}" destId="{D1A96D63-6435-406B-AAA1-DD834F9590D2}" srcOrd="3" destOrd="0" parTransId="{228405FB-4401-4C81-B57D-8600070D4630}" sibTransId="{5744942C-8D0E-483E-9230-67C39FF5413A}"/>
    <dgm:cxn modelId="{7C1CFE76-EF27-4A85-B534-16FD73608D80}" srcId="{290941DE-A1DB-46F1-B03D-0105B16E5B2F}" destId="{071E8585-3E73-4F0D-BF39-0D93A1C8C681}" srcOrd="1" destOrd="0" parTransId="{7AC14C30-0099-47E1-86F8-ED2E90365331}" sibTransId="{EA65DC71-A253-4079-98C2-1DB653F09656}"/>
    <dgm:cxn modelId="{81C7BD79-522A-4B8B-98A1-5884DFA773E0}" type="presOf" srcId="{9FD9EE72-7747-4AED-BF36-3A74F61B4F24}" destId="{725237AA-0124-4536-8D7B-52FBB1F5BC7A}" srcOrd="0" destOrd="0" presId="urn:microsoft.com/office/officeart/2005/8/layout/bProcess3"/>
    <dgm:cxn modelId="{68E4297A-8C69-454D-9E29-F5C84EEC3D57}" type="presOf" srcId="{A7137AD7-BF6E-4155-A15D-F4ED5A0765AA}" destId="{3DC71C58-DDCE-4D62-A700-3BFE79F0DC82}" srcOrd="0" destOrd="0" presId="urn:microsoft.com/office/officeart/2005/8/layout/bProcess3"/>
    <dgm:cxn modelId="{74F6F88D-E49F-4AF8-86E0-AEBE0A73DEBE}" type="presOf" srcId="{DAE72142-3B23-4B66-AC3C-4B172B4ABD64}" destId="{6D4FAAC2-10A2-4D9F-BBFD-AC277B4925AE}" srcOrd="1" destOrd="0" presId="urn:microsoft.com/office/officeart/2005/8/layout/bProcess3"/>
    <dgm:cxn modelId="{89D3628E-2372-4899-9CB6-BCF01E2AC158}" srcId="{290941DE-A1DB-46F1-B03D-0105B16E5B2F}" destId="{1084BFBC-E461-46E9-8FAC-35BBD0CBB72D}" srcOrd="12" destOrd="0" parTransId="{24270760-3FBC-4D42-8401-94F7FAB65B8D}" sibTransId="{ED146788-1EBD-4F40-8298-10D1685C9F3D}"/>
    <dgm:cxn modelId="{D31ACB92-7BC2-4C78-BD63-F8406CB8B205}" type="presOf" srcId="{9FD9EE72-7747-4AED-BF36-3A74F61B4F24}" destId="{1E2DF75C-AFD3-4A59-A43D-07260BB68F05}" srcOrd="1" destOrd="0" presId="urn:microsoft.com/office/officeart/2005/8/layout/bProcess3"/>
    <dgm:cxn modelId="{05C3FE96-A60D-47D9-AC81-57224227613C}" type="presOf" srcId="{DC22C0ED-75C6-4214-860E-3F6DDA76183E}" destId="{67754DB0-79EE-4FD0-AFF3-EC4D2F9BFDEA}" srcOrd="0" destOrd="0" presId="urn:microsoft.com/office/officeart/2005/8/layout/bProcess3"/>
    <dgm:cxn modelId="{68D7D39B-0BA8-4022-8070-72B1FDEB0D13}" type="presOf" srcId="{7E6E47BA-A62E-418C-8AC6-12FE035181BE}" destId="{6BAA4831-CB5F-41DD-8D1A-10986123DE23}" srcOrd="0" destOrd="0" presId="urn:microsoft.com/office/officeart/2005/8/layout/bProcess3"/>
    <dgm:cxn modelId="{C74E789D-BC05-4810-8CE6-BFD358D117FF}" type="presOf" srcId="{4778822F-2A1D-48CB-A070-6EEADEE9FF07}" destId="{542867BD-242A-4C21-B9FB-B1293AC61993}" srcOrd="0" destOrd="0" presId="urn:microsoft.com/office/officeart/2005/8/layout/bProcess3"/>
    <dgm:cxn modelId="{2508819D-1DB5-4754-8A7E-5684ECA020F8}" type="presOf" srcId="{9F49BABF-B3AA-4471-91BA-2EE5DA1D07CE}" destId="{891873A5-9A30-40C8-92C2-DBC5CC024CD2}" srcOrd="0" destOrd="0" presId="urn:microsoft.com/office/officeart/2005/8/layout/bProcess3"/>
    <dgm:cxn modelId="{59CA9DA0-BC5F-4918-BA3C-B687A29D7964}" srcId="{290941DE-A1DB-46F1-B03D-0105B16E5B2F}" destId="{730312BD-7AA1-44B1-9D76-3184C5170F58}" srcOrd="2" destOrd="0" parTransId="{5E4ED77C-2A43-4942-B176-8220DC4636DB}" sibTransId="{EF2340CE-7274-4A41-B3D9-9A9BE5A4D87A}"/>
    <dgm:cxn modelId="{13D617A6-DC4F-4582-89BB-9E875EBD7712}" type="presOf" srcId="{DAE72142-3B23-4B66-AC3C-4B172B4ABD64}" destId="{C0D17A1F-9EAB-4D12-817B-73219D8FDE16}" srcOrd="0" destOrd="0" presId="urn:microsoft.com/office/officeart/2005/8/layout/bProcess3"/>
    <dgm:cxn modelId="{5DDF37AA-0A66-48AA-A6CC-B090634FB4BB}" srcId="{290941DE-A1DB-46F1-B03D-0105B16E5B2F}" destId="{7E6E47BA-A62E-418C-8AC6-12FE035181BE}" srcOrd="4" destOrd="0" parTransId="{46FEFA24-FD12-47AB-BC2C-920EBB449EAC}" sibTransId="{81A7DC3A-C1DA-4989-938C-F093CCDEC852}"/>
    <dgm:cxn modelId="{323094B2-82C9-470A-9F23-3543FE7ADDC0}" type="presOf" srcId="{D1A96D63-6435-406B-AAA1-DD834F9590D2}" destId="{4610F32A-E761-47E9-9B10-D57160F33225}" srcOrd="0" destOrd="0" presId="urn:microsoft.com/office/officeart/2005/8/layout/bProcess3"/>
    <dgm:cxn modelId="{F7715EB3-E693-4AA4-A2EE-BA2F1FBFA5B7}" type="presOf" srcId="{9F49BABF-B3AA-4471-91BA-2EE5DA1D07CE}" destId="{08031F0E-0BE0-4827-A4CE-4FA7AABCB8A9}" srcOrd="1" destOrd="0" presId="urn:microsoft.com/office/officeart/2005/8/layout/bProcess3"/>
    <dgm:cxn modelId="{75474BB4-D004-4E39-9178-DCCC362C142B}" type="presOf" srcId="{5744942C-8D0E-483E-9230-67C39FF5413A}" destId="{98D6B273-95BE-4D94-98E7-BE92CBA0AEA7}" srcOrd="1" destOrd="0" presId="urn:microsoft.com/office/officeart/2005/8/layout/bProcess3"/>
    <dgm:cxn modelId="{B537A9B8-DCCC-457A-BA95-4C7F898077A9}" type="presOf" srcId="{81A7DC3A-C1DA-4989-938C-F093CCDEC852}" destId="{7D09C119-E708-4137-AF05-2068D328EB18}" srcOrd="1" destOrd="0" presId="urn:microsoft.com/office/officeart/2005/8/layout/bProcess3"/>
    <dgm:cxn modelId="{0ECB63BC-5CA0-455D-9D5C-1F3CD7B2FE37}" type="presOf" srcId="{DC22C0ED-75C6-4214-860E-3F6DDA76183E}" destId="{33CD3A3D-F9E5-4AF3-8B90-78D0C5EB3772}" srcOrd="1" destOrd="0" presId="urn:microsoft.com/office/officeart/2005/8/layout/bProcess3"/>
    <dgm:cxn modelId="{1D89CCC9-A2D8-4D60-B5D3-11007DE6851D}" type="presOf" srcId="{CE3B3BD3-35DC-425B-96C9-94650FF5DC1C}" destId="{88DE9C6C-6D49-43CF-8385-A41F6FA671BB}" srcOrd="0" destOrd="0" presId="urn:microsoft.com/office/officeart/2005/8/layout/bProcess3"/>
    <dgm:cxn modelId="{3135CFDE-C3A6-40B2-93E8-55F5D1DBD278}" type="presOf" srcId="{81A7DC3A-C1DA-4989-938C-F093CCDEC852}" destId="{6F9440A1-7030-493F-A639-FE0615E77D15}" srcOrd="0" destOrd="0" presId="urn:microsoft.com/office/officeart/2005/8/layout/bProcess3"/>
    <dgm:cxn modelId="{6F3BD7E1-087F-4CCA-8326-BB6937E70FD0}" srcId="{290941DE-A1DB-46F1-B03D-0105B16E5B2F}" destId="{5C412DE9-7057-441A-8C91-C41600E9B5F3}" srcOrd="0" destOrd="0" parTransId="{AE4E9A24-47BD-4690-AF30-14A690F1AA44}" sibTransId="{81D96DCF-4228-41CA-82CC-25F433DE5C16}"/>
    <dgm:cxn modelId="{A516CDE2-B845-490B-8227-F9DDEEA9C291}" srcId="{290941DE-A1DB-46F1-B03D-0105B16E5B2F}" destId="{CE3B3BD3-35DC-425B-96C9-94650FF5DC1C}" srcOrd="7" destOrd="0" parTransId="{42968BFC-4BDC-4949-BF44-965904858139}" sibTransId="{DC22C0ED-75C6-4214-860E-3F6DDA76183E}"/>
    <dgm:cxn modelId="{4E8DA8EA-9586-49A4-B029-14CEE7CD6985}" type="presOf" srcId="{EED90470-F772-43C0-9A67-2F61F0A5158E}" destId="{E81F043A-D6B4-4185-8C33-AF5DDDB9B3FF}" srcOrd="0" destOrd="0" presId="urn:microsoft.com/office/officeart/2005/8/layout/bProcess3"/>
    <dgm:cxn modelId="{4FA96FF6-79C4-4E09-AAD7-4453B60E3C5B}" srcId="{290941DE-A1DB-46F1-B03D-0105B16E5B2F}" destId="{6EF90803-C57D-4E1C-B56D-A0179806B921}" srcOrd="6" destOrd="0" parTransId="{8EE11197-FC64-4553-A565-74052F42D607}" sibTransId="{DAE72142-3B23-4B66-AC3C-4B172B4ABD64}"/>
    <dgm:cxn modelId="{B5343BFD-ECF0-4DE0-A278-4473F8CC9848}" type="presOf" srcId="{96986AF6-BAD6-42E5-9679-F90463B9FC56}" destId="{48CAEE44-F904-4A81-BA87-D4ECD4DA8AD3}" srcOrd="1" destOrd="0" presId="urn:microsoft.com/office/officeart/2005/8/layout/bProcess3"/>
    <dgm:cxn modelId="{F7CF82F9-5CBF-4D3D-A90B-D22E07CCCC9E}" type="presParOf" srcId="{B22B5C09-9100-436B-9C6F-411082B4F8C2}" destId="{EBA11BF1-986E-4536-98A8-364577EA7B9B}" srcOrd="0" destOrd="0" presId="urn:microsoft.com/office/officeart/2005/8/layout/bProcess3"/>
    <dgm:cxn modelId="{37AF0646-BD22-4389-ACC7-E0E3229EF661}" type="presParOf" srcId="{B22B5C09-9100-436B-9C6F-411082B4F8C2}" destId="{1181FD1E-08FA-488E-9FCC-9319D142F28E}" srcOrd="1" destOrd="0" presId="urn:microsoft.com/office/officeart/2005/8/layout/bProcess3"/>
    <dgm:cxn modelId="{4E3D7B64-9BE8-4E4C-8B9A-16AD5757611C}" type="presParOf" srcId="{1181FD1E-08FA-488E-9FCC-9319D142F28E}" destId="{E81B558C-CBBF-4E50-A46D-4F8BD0C4988A}" srcOrd="0" destOrd="0" presId="urn:microsoft.com/office/officeart/2005/8/layout/bProcess3"/>
    <dgm:cxn modelId="{0B2E137F-61AC-461C-B97C-74C3B4C080B4}" type="presParOf" srcId="{B22B5C09-9100-436B-9C6F-411082B4F8C2}" destId="{B3E79C7E-4A29-4263-B041-931FD0C9D871}" srcOrd="2" destOrd="0" presId="urn:microsoft.com/office/officeart/2005/8/layout/bProcess3"/>
    <dgm:cxn modelId="{2E6E1DC8-5B6B-4F6B-8FA8-DA8F77136ECA}" type="presParOf" srcId="{B22B5C09-9100-436B-9C6F-411082B4F8C2}" destId="{27F3B7D1-5BB8-40A1-A160-A2A330879F9D}" srcOrd="3" destOrd="0" presId="urn:microsoft.com/office/officeart/2005/8/layout/bProcess3"/>
    <dgm:cxn modelId="{0FC47EA1-D303-4618-A085-8C6AC45DB0A6}" type="presParOf" srcId="{27F3B7D1-5BB8-40A1-A160-A2A330879F9D}" destId="{359AC4B4-2C48-4725-8693-760DB93EBC41}" srcOrd="0" destOrd="0" presId="urn:microsoft.com/office/officeart/2005/8/layout/bProcess3"/>
    <dgm:cxn modelId="{FDE34CC2-F7F0-456B-AA28-1EEA0785B460}" type="presParOf" srcId="{B22B5C09-9100-436B-9C6F-411082B4F8C2}" destId="{A7D1E759-8F10-4114-A25F-09B2988F608B}" srcOrd="4" destOrd="0" presId="urn:microsoft.com/office/officeart/2005/8/layout/bProcess3"/>
    <dgm:cxn modelId="{39275968-D3C7-4DC6-9FB1-0BF04D357B82}" type="presParOf" srcId="{B22B5C09-9100-436B-9C6F-411082B4F8C2}" destId="{3919D872-B3A3-4EC0-86A5-1AAF43547F09}" srcOrd="5" destOrd="0" presId="urn:microsoft.com/office/officeart/2005/8/layout/bProcess3"/>
    <dgm:cxn modelId="{BDAF8687-6F7B-4589-88E2-7743DA81D299}" type="presParOf" srcId="{3919D872-B3A3-4EC0-86A5-1AAF43547F09}" destId="{7755FD52-8BF6-42D9-8470-CFA28198F399}" srcOrd="0" destOrd="0" presId="urn:microsoft.com/office/officeart/2005/8/layout/bProcess3"/>
    <dgm:cxn modelId="{A2F2AA03-7720-4E19-B642-6A4FCD258B71}" type="presParOf" srcId="{B22B5C09-9100-436B-9C6F-411082B4F8C2}" destId="{4610F32A-E761-47E9-9B10-D57160F33225}" srcOrd="6" destOrd="0" presId="urn:microsoft.com/office/officeart/2005/8/layout/bProcess3"/>
    <dgm:cxn modelId="{433EB16A-0CE6-495F-BAA8-31BCDD69E304}" type="presParOf" srcId="{B22B5C09-9100-436B-9C6F-411082B4F8C2}" destId="{FDB34492-2D1A-4520-8349-3FD5D6145923}" srcOrd="7" destOrd="0" presId="urn:microsoft.com/office/officeart/2005/8/layout/bProcess3"/>
    <dgm:cxn modelId="{814B0285-1209-4B66-B1F2-4D4B87C1AE02}" type="presParOf" srcId="{FDB34492-2D1A-4520-8349-3FD5D6145923}" destId="{98D6B273-95BE-4D94-98E7-BE92CBA0AEA7}" srcOrd="0" destOrd="0" presId="urn:microsoft.com/office/officeart/2005/8/layout/bProcess3"/>
    <dgm:cxn modelId="{0E4B8E85-5184-4902-BF63-A0049AC2FDF0}" type="presParOf" srcId="{B22B5C09-9100-436B-9C6F-411082B4F8C2}" destId="{6BAA4831-CB5F-41DD-8D1A-10986123DE23}" srcOrd="8" destOrd="0" presId="urn:microsoft.com/office/officeart/2005/8/layout/bProcess3"/>
    <dgm:cxn modelId="{070D2529-8276-448C-8354-7C8F97A87499}" type="presParOf" srcId="{B22B5C09-9100-436B-9C6F-411082B4F8C2}" destId="{6F9440A1-7030-493F-A639-FE0615E77D15}" srcOrd="9" destOrd="0" presId="urn:microsoft.com/office/officeart/2005/8/layout/bProcess3"/>
    <dgm:cxn modelId="{655EC242-410F-47F3-B853-06F4577FEE92}" type="presParOf" srcId="{6F9440A1-7030-493F-A639-FE0615E77D15}" destId="{7D09C119-E708-4137-AF05-2068D328EB18}" srcOrd="0" destOrd="0" presId="urn:microsoft.com/office/officeart/2005/8/layout/bProcess3"/>
    <dgm:cxn modelId="{EED088FB-8714-46AD-922C-3E887398D3B1}" type="presParOf" srcId="{B22B5C09-9100-436B-9C6F-411082B4F8C2}" destId="{E81F043A-D6B4-4185-8C33-AF5DDDB9B3FF}" srcOrd="10" destOrd="0" presId="urn:microsoft.com/office/officeart/2005/8/layout/bProcess3"/>
    <dgm:cxn modelId="{83ACB894-8399-4C6B-88E1-5C703F006D59}" type="presParOf" srcId="{B22B5C09-9100-436B-9C6F-411082B4F8C2}" destId="{725237AA-0124-4536-8D7B-52FBB1F5BC7A}" srcOrd="11" destOrd="0" presId="urn:microsoft.com/office/officeart/2005/8/layout/bProcess3"/>
    <dgm:cxn modelId="{255B77BA-DD97-4C77-8B58-B2BF669F6818}" type="presParOf" srcId="{725237AA-0124-4536-8D7B-52FBB1F5BC7A}" destId="{1E2DF75C-AFD3-4A59-A43D-07260BB68F05}" srcOrd="0" destOrd="0" presId="urn:microsoft.com/office/officeart/2005/8/layout/bProcess3"/>
    <dgm:cxn modelId="{4C561F49-19AB-4C17-87C8-2AB71EF634D9}" type="presParOf" srcId="{B22B5C09-9100-436B-9C6F-411082B4F8C2}" destId="{F54D4DB2-3349-4F00-8B15-6591602A5E9C}" srcOrd="12" destOrd="0" presId="urn:microsoft.com/office/officeart/2005/8/layout/bProcess3"/>
    <dgm:cxn modelId="{6896C65E-50B8-4F29-9301-72FF8CF7C3C6}" type="presParOf" srcId="{B22B5C09-9100-436B-9C6F-411082B4F8C2}" destId="{C0D17A1F-9EAB-4D12-817B-73219D8FDE16}" srcOrd="13" destOrd="0" presId="urn:microsoft.com/office/officeart/2005/8/layout/bProcess3"/>
    <dgm:cxn modelId="{AD4BA9C1-64AB-4D47-BC26-50757E1FA20C}" type="presParOf" srcId="{C0D17A1F-9EAB-4D12-817B-73219D8FDE16}" destId="{6D4FAAC2-10A2-4D9F-BBFD-AC277B4925AE}" srcOrd="0" destOrd="0" presId="urn:microsoft.com/office/officeart/2005/8/layout/bProcess3"/>
    <dgm:cxn modelId="{1DFFB598-F238-464F-9D2D-CA115298E9EB}" type="presParOf" srcId="{B22B5C09-9100-436B-9C6F-411082B4F8C2}" destId="{88DE9C6C-6D49-43CF-8385-A41F6FA671BB}" srcOrd="14" destOrd="0" presId="urn:microsoft.com/office/officeart/2005/8/layout/bProcess3"/>
    <dgm:cxn modelId="{CD8BA8C5-77CB-4A87-A8CC-333054D2978C}" type="presParOf" srcId="{B22B5C09-9100-436B-9C6F-411082B4F8C2}" destId="{67754DB0-79EE-4FD0-AFF3-EC4D2F9BFDEA}" srcOrd="15" destOrd="0" presId="urn:microsoft.com/office/officeart/2005/8/layout/bProcess3"/>
    <dgm:cxn modelId="{2DA7BC00-724A-439D-A870-5E196E5D827C}" type="presParOf" srcId="{67754DB0-79EE-4FD0-AFF3-EC4D2F9BFDEA}" destId="{33CD3A3D-F9E5-4AF3-8B90-78D0C5EB3772}" srcOrd="0" destOrd="0" presId="urn:microsoft.com/office/officeart/2005/8/layout/bProcess3"/>
    <dgm:cxn modelId="{A77443A9-BDFF-42B1-9C3D-D8DD046D2F19}" type="presParOf" srcId="{B22B5C09-9100-436B-9C6F-411082B4F8C2}" destId="{8742F127-F384-4D8B-96AE-61E306EE3B88}" srcOrd="16" destOrd="0" presId="urn:microsoft.com/office/officeart/2005/8/layout/bProcess3"/>
    <dgm:cxn modelId="{0562AD36-8254-4F37-B185-8DB887408418}" type="presParOf" srcId="{B22B5C09-9100-436B-9C6F-411082B4F8C2}" destId="{3DC71C58-DDCE-4D62-A700-3BFE79F0DC82}" srcOrd="17" destOrd="0" presId="urn:microsoft.com/office/officeart/2005/8/layout/bProcess3"/>
    <dgm:cxn modelId="{BD5D7595-0D67-42A1-BA72-396946403898}" type="presParOf" srcId="{3DC71C58-DDCE-4D62-A700-3BFE79F0DC82}" destId="{04D99072-AD68-4EA0-AD0A-65D7AC6C955A}" srcOrd="0" destOrd="0" presId="urn:microsoft.com/office/officeart/2005/8/layout/bProcess3"/>
    <dgm:cxn modelId="{1F68DFFB-2F8B-4020-B2F1-F197F0E342C8}" type="presParOf" srcId="{B22B5C09-9100-436B-9C6F-411082B4F8C2}" destId="{AE06BB4B-262E-4478-9F4F-265D572ACAB8}" srcOrd="18" destOrd="0" presId="urn:microsoft.com/office/officeart/2005/8/layout/bProcess3"/>
    <dgm:cxn modelId="{51A93917-3520-4845-AF69-7BC94DAF32A4}" type="presParOf" srcId="{B22B5C09-9100-436B-9C6F-411082B4F8C2}" destId="{7DE1EED2-803A-4C9D-8EC1-5BB8738BFF1F}" srcOrd="19" destOrd="0" presId="urn:microsoft.com/office/officeart/2005/8/layout/bProcess3"/>
    <dgm:cxn modelId="{4EA41867-EBA9-4039-BEE5-11604AEF7261}" type="presParOf" srcId="{7DE1EED2-803A-4C9D-8EC1-5BB8738BFF1F}" destId="{34341393-06D3-4DBE-97DE-AC2027E32903}" srcOrd="0" destOrd="0" presId="urn:microsoft.com/office/officeart/2005/8/layout/bProcess3"/>
    <dgm:cxn modelId="{BF08CE25-42DF-46F1-BB37-D99616F56177}" type="presParOf" srcId="{B22B5C09-9100-436B-9C6F-411082B4F8C2}" destId="{542867BD-242A-4C21-B9FB-B1293AC61993}" srcOrd="20" destOrd="0" presId="urn:microsoft.com/office/officeart/2005/8/layout/bProcess3"/>
    <dgm:cxn modelId="{D07FDCCE-59C0-4E40-A331-7C71B6F81C52}" type="presParOf" srcId="{B22B5C09-9100-436B-9C6F-411082B4F8C2}" destId="{55EB97E7-F975-4624-B1D3-EE0EE045AB7D}" srcOrd="21" destOrd="0" presId="urn:microsoft.com/office/officeart/2005/8/layout/bProcess3"/>
    <dgm:cxn modelId="{F875A299-C91B-4EA2-B00B-BCCCA287EAE3}" type="presParOf" srcId="{55EB97E7-F975-4624-B1D3-EE0EE045AB7D}" destId="{48CAEE44-F904-4A81-BA87-D4ECD4DA8AD3}" srcOrd="0" destOrd="0" presId="urn:microsoft.com/office/officeart/2005/8/layout/bProcess3"/>
    <dgm:cxn modelId="{7374455B-A274-475D-B972-C38220152E06}" type="presParOf" srcId="{B22B5C09-9100-436B-9C6F-411082B4F8C2}" destId="{889388C0-FBDB-48D4-9C8F-4923ED45E189}" srcOrd="22" destOrd="0" presId="urn:microsoft.com/office/officeart/2005/8/layout/bProcess3"/>
    <dgm:cxn modelId="{4CF2373D-5CCE-4F8E-8A45-E275381B0AA7}" type="presParOf" srcId="{B22B5C09-9100-436B-9C6F-411082B4F8C2}" destId="{891873A5-9A30-40C8-92C2-DBC5CC024CD2}" srcOrd="23" destOrd="0" presId="urn:microsoft.com/office/officeart/2005/8/layout/bProcess3"/>
    <dgm:cxn modelId="{B5C6D127-6E9B-4A4F-B522-8ABB279F0FC9}" type="presParOf" srcId="{891873A5-9A30-40C8-92C2-DBC5CC024CD2}" destId="{08031F0E-0BE0-4827-A4CE-4FA7AABCB8A9}" srcOrd="0" destOrd="0" presId="urn:microsoft.com/office/officeart/2005/8/layout/bProcess3"/>
    <dgm:cxn modelId="{E9DE4FE4-F825-4793-BD78-8FFA01E78008}" type="presParOf" srcId="{B22B5C09-9100-436B-9C6F-411082B4F8C2}" destId="{41B517D4-BF93-4BC9-953F-C130DA067DBB}" srcOrd="24" destOrd="0" presId="urn:microsoft.com/office/officeart/2005/8/layout/bProcess3"/>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290941DE-A1DB-46F1-B03D-0105B16E5B2F}" type="doc">
      <dgm:prSet loTypeId="urn:microsoft.com/office/officeart/2005/8/layout/bProcess3" loCatId="process" qsTypeId="urn:microsoft.com/office/officeart/2005/8/quickstyle/simple5" qsCatId="simple" csTypeId="urn:microsoft.com/office/officeart/2005/8/colors/colorful1#5" csCatId="colorful" phldr="1"/>
      <dgm:spPr/>
      <dgm:t>
        <a:bodyPr/>
        <a:lstStyle/>
        <a:p>
          <a:endParaRPr lang="pl-PL"/>
        </a:p>
      </dgm:t>
    </dgm:pt>
    <dgm:pt modelId="{5C412DE9-7057-441A-8C91-C41600E9B5F3}">
      <dgm:prSet phldrT="[Tekst]" custT="1"/>
      <dgm:spPr/>
      <dgm:t>
        <a:bodyPr/>
        <a:lstStyle/>
        <a:p>
          <a:r>
            <a:rPr lang="pl-PL" sz="1050"/>
            <a:t>Zabezpieczenie obiektu i terenu prac.</a:t>
          </a:r>
        </a:p>
      </dgm:t>
    </dgm:pt>
    <dgm:pt modelId="{AE4E9A24-47BD-4690-AF30-14A690F1AA44}" type="parTrans" cxnId="{6F3BD7E1-087F-4CCA-8326-BB6937E70FD0}">
      <dgm:prSet/>
      <dgm:spPr/>
      <dgm:t>
        <a:bodyPr/>
        <a:lstStyle/>
        <a:p>
          <a:endParaRPr lang="pl-PL" sz="1050"/>
        </a:p>
      </dgm:t>
    </dgm:pt>
    <dgm:pt modelId="{81D96DCF-4228-41CA-82CC-25F433DE5C16}" type="sibTrans" cxnId="{6F3BD7E1-087F-4CCA-8326-BB6937E70FD0}">
      <dgm:prSet custT="1"/>
      <dgm:spPr/>
      <dgm:t>
        <a:bodyPr/>
        <a:lstStyle/>
        <a:p>
          <a:endParaRPr lang="pl-PL" sz="1050"/>
        </a:p>
      </dgm:t>
    </dgm:pt>
    <dgm:pt modelId="{071E8585-3E73-4F0D-BF39-0D93A1C8C681}">
      <dgm:prSet custT="1"/>
      <dgm:spPr/>
      <dgm:t>
        <a:bodyPr/>
        <a:lstStyle/>
        <a:p>
          <a:r>
            <a:rPr lang="pl-PL" sz="1050"/>
            <a:t>Izolowanie miejsca pracy.</a:t>
          </a:r>
        </a:p>
      </dgm:t>
    </dgm:pt>
    <dgm:pt modelId="{7AC14C30-0099-47E1-86F8-ED2E90365331}" type="parTrans" cxnId="{7C1CFE76-EF27-4A85-B534-16FD73608D80}">
      <dgm:prSet/>
      <dgm:spPr/>
      <dgm:t>
        <a:bodyPr/>
        <a:lstStyle/>
        <a:p>
          <a:endParaRPr lang="pl-PL" sz="1050"/>
        </a:p>
      </dgm:t>
    </dgm:pt>
    <dgm:pt modelId="{EA65DC71-A253-4079-98C2-1DB653F09656}" type="sibTrans" cxnId="{7C1CFE76-EF27-4A85-B534-16FD73608D80}">
      <dgm:prSet custT="1"/>
      <dgm:spPr/>
      <dgm:t>
        <a:bodyPr/>
        <a:lstStyle/>
        <a:p>
          <a:endParaRPr lang="pl-PL" sz="1050"/>
        </a:p>
      </dgm:t>
    </dgm:pt>
    <dgm:pt modelId="{730312BD-7AA1-44B1-9D76-3184C5170F58}">
      <dgm:prSet custT="1"/>
      <dgm:spPr/>
      <dgm:t>
        <a:bodyPr/>
        <a:lstStyle/>
        <a:p>
          <a:r>
            <a:rPr lang="pl-PL" sz="1050" b="0"/>
            <a:t>Demontaż  odpadów zawierających azbest.</a:t>
          </a:r>
        </a:p>
      </dgm:t>
    </dgm:pt>
    <dgm:pt modelId="{5E4ED77C-2A43-4942-B176-8220DC4636DB}" type="parTrans" cxnId="{59CA9DA0-BC5F-4918-BA3C-B687A29D7964}">
      <dgm:prSet/>
      <dgm:spPr/>
      <dgm:t>
        <a:bodyPr/>
        <a:lstStyle/>
        <a:p>
          <a:endParaRPr lang="pl-PL" sz="1050"/>
        </a:p>
      </dgm:t>
    </dgm:pt>
    <dgm:pt modelId="{EF2340CE-7274-4A41-B3D9-9A9BE5A4D87A}" type="sibTrans" cxnId="{59CA9DA0-BC5F-4918-BA3C-B687A29D7964}">
      <dgm:prSet custT="1"/>
      <dgm:spPr/>
      <dgm:t>
        <a:bodyPr/>
        <a:lstStyle/>
        <a:p>
          <a:endParaRPr lang="pl-PL" sz="1050"/>
        </a:p>
      </dgm:t>
    </dgm:pt>
    <dgm:pt modelId="{D1A96D63-6435-406B-AAA1-DD834F9590D2}">
      <dgm:prSet custT="1"/>
      <dgm:spPr/>
      <dgm:t>
        <a:bodyPr/>
        <a:lstStyle/>
        <a:p>
          <a:r>
            <a:rPr lang="pl-PL" sz="1050" b="0">
              <a:latin typeface="+mn-lt"/>
            </a:rPr>
            <a:t>Pakowanie odpadów.</a:t>
          </a:r>
        </a:p>
      </dgm:t>
    </dgm:pt>
    <dgm:pt modelId="{228405FB-4401-4C81-B57D-8600070D4630}" type="parTrans" cxnId="{1186C356-AA4C-401E-8550-30DE1CA3654F}">
      <dgm:prSet/>
      <dgm:spPr/>
      <dgm:t>
        <a:bodyPr/>
        <a:lstStyle/>
        <a:p>
          <a:endParaRPr lang="pl-PL" sz="1050"/>
        </a:p>
      </dgm:t>
    </dgm:pt>
    <dgm:pt modelId="{5744942C-8D0E-483E-9230-67C39FF5413A}" type="sibTrans" cxnId="{1186C356-AA4C-401E-8550-30DE1CA3654F}">
      <dgm:prSet custT="1"/>
      <dgm:spPr/>
      <dgm:t>
        <a:bodyPr/>
        <a:lstStyle/>
        <a:p>
          <a:endParaRPr lang="pl-PL" sz="1050"/>
        </a:p>
      </dgm:t>
    </dgm:pt>
    <dgm:pt modelId="{7E6E47BA-A62E-418C-8AC6-12FE035181BE}">
      <dgm:prSet custT="1"/>
      <dgm:spPr/>
      <dgm:t>
        <a:bodyPr/>
        <a:lstStyle/>
        <a:p>
          <a:r>
            <a:rPr lang="pl-PL" sz="1050" b="0"/>
            <a:t>Oznakowanie odpadów.</a:t>
          </a:r>
        </a:p>
      </dgm:t>
    </dgm:pt>
    <dgm:pt modelId="{46FEFA24-FD12-47AB-BC2C-920EBB449EAC}" type="parTrans" cxnId="{5DDF37AA-0A66-48AA-A6CC-B090634FB4BB}">
      <dgm:prSet/>
      <dgm:spPr/>
      <dgm:t>
        <a:bodyPr/>
        <a:lstStyle/>
        <a:p>
          <a:endParaRPr lang="pl-PL" sz="1050"/>
        </a:p>
      </dgm:t>
    </dgm:pt>
    <dgm:pt modelId="{81A7DC3A-C1DA-4989-938C-F093CCDEC852}" type="sibTrans" cxnId="{5DDF37AA-0A66-48AA-A6CC-B090634FB4BB}">
      <dgm:prSet custT="1"/>
      <dgm:spPr/>
      <dgm:t>
        <a:bodyPr/>
        <a:lstStyle/>
        <a:p>
          <a:endParaRPr lang="pl-PL" sz="1050"/>
        </a:p>
      </dgm:t>
    </dgm:pt>
    <dgm:pt modelId="{EED90470-F772-43C0-9A67-2F61F0A5158E}">
      <dgm:prSet custT="1"/>
      <dgm:spPr/>
      <dgm:t>
        <a:bodyPr/>
        <a:lstStyle/>
        <a:p>
          <a:r>
            <a:rPr lang="pl-PL" sz="1050" b="0"/>
            <a:t>Wystawienie dokumentów ewidencji odpadów.</a:t>
          </a:r>
        </a:p>
      </dgm:t>
    </dgm:pt>
    <dgm:pt modelId="{046DCB86-025F-4F68-B1C4-92CBB6FC8ED3}" type="parTrans" cxnId="{36055605-E78C-454E-BF05-2BDCB5CD6F48}">
      <dgm:prSet/>
      <dgm:spPr/>
      <dgm:t>
        <a:bodyPr/>
        <a:lstStyle/>
        <a:p>
          <a:endParaRPr lang="pl-PL" sz="1050"/>
        </a:p>
      </dgm:t>
    </dgm:pt>
    <dgm:pt modelId="{9FD9EE72-7747-4AED-BF36-3A74F61B4F24}" type="sibTrans" cxnId="{36055605-E78C-454E-BF05-2BDCB5CD6F48}">
      <dgm:prSet custT="1"/>
      <dgm:spPr/>
      <dgm:t>
        <a:bodyPr/>
        <a:lstStyle/>
        <a:p>
          <a:endParaRPr lang="pl-PL" sz="1050"/>
        </a:p>
      </dgm:t>
    </dgm:pt>
    <dgm:pt modelId="{6EF90803-C57D-4E1C-B56D-A0179806B921}">
      <dgm:prSet custT="1"/>
      <dgm:spPr/>
      <dgm:t>
        <a:bodyPr/>
        <a:lstStyle/>
        <a:p>
          <a:r>
            <a:rPr lang="pl-PL" sz="1050" b="0"/>
            <a:t>Karta ewidencji odpadów/ Karta przekazania odpadów.</a:t>
          </a:r>
        </a:p>
      </dgm:t>
    </dgm:pt>
    <dgm:pt modelId="{8EE11197-FC64-4553-A565-74052F42D607}" type="parTrans" cxnId="{4FA96FF6-79C4-4E09-AAD7-4453B60E3C5B}">
      <dgm:prSet/>
      <dgm:spPr/>
      <dgm:t>
        <a:bodyPr/>
        <a:lstStyle/>
        <a:p>
          <a:endParaRPr lang="pl-PL" sz="1050"/>
        </a:p>
      </dgm:t>
    </dgm:pt>
    <dgm:pt modelId="{DAE72142-3B23-4B66-AC3C-4B172B4ABD64}" type="sibTrans" cxnId="{4FA96FF6-79C4-4E09-AAD7-4453B60E3C5B}">
      <dgm:prSet custT="1"/>
      <dgm:spPr/>
      <dgm:t>
        <a:bodyPr/>
        <a:lstStyle/>
        <a:p>
          <a:endParaRPr lang="pl-PL" sz="1050"/>
        </a:p>
      </dgm:t>
    </dgm:pt>
    <dgm:pt modelId="{CE3B3BD3-35DC-425B-96C9-94650FF5DC1C}">
      <dgm:prSet custT="1"/>
      <dgm:spPr/>
      <dgm:t>
        <a:bodyPr/>
        <a:lstStyle/>
        <a:p>
          <a:r>
            <a:rPr lang="pl-PL" sz="1050" b="0"/>
            <a:t>Przygotowanie odpadów do transportu i przekazania</a:t>
          </a:r>
          <a:r>
            <a:rPr lang="pl-PL" sz="1050" b="1"/>
            <a:t>.</a:t>
          </a:r>
          <a:endParaRPr lang="pl-PL" sz="1050"/>
        </a:p>
      </dgm:t>
    </dgm:pt>
    <dgm:pt modelId="{42968BFC-4BDC-4949-BF44-965904858139}" type="parTrans" cxnId="{A516CDE2-B845-490B-8227-F9DDEEA9C291}">
      <dgm:prSet/>
      <dgm:spPr/>
      <dgm:t>
        <a:bodyPr/>
        <a:lstStyle/>
        <a:p>
          <a:endParaRPr lang="pl-PL" sz="1050"/>
        </a:p>
      </dgm:t>
    </dgm:pt>
    <dgm:pt modelId="{DC22C0ED-75C6-4214-860E-3F6DDA76183E}" type="sibTrans" cxnId="{A516CDE2-B845-490B-8227-F9DDEEA9C291}">
      <dgm:prSet custT="1"/>
      <dgm:spPr/>
      <dgm:t>
        <a:bodyPr/>
        <a:lstStyle/>
        <a:p>
          <a:endParaRPr lang="pl-PL" sz="1050"/>
        </a:p>
      </dgm:t>
    </dgm:pt>
    <dgm:pt modelId="{6587D3C4-F0A2-462E-A0A3-E83E537F68A4}">
      <dgm:prSet custT="1"/>
      <dgm:spPr/>
      <dgm:t>
        <a:bodyPr/>
        <a:lstStyle/>
        <a:p>
          <a:r>
            <a:rPr lang="pl-PL" sz="1050" b="0"/>
            <a:t>Oczyszczenie pola prac i otoczenia terenu robót z pozostałości azbestu.</a:t>
          </a:r>
        </a:p>
      </dgm:t>
    </dgm:pt>
    <dgm:pt modelId="{98C157E5-169B-4D4E-BC76-BB15CA8E7D0F}" type="parTrans" cxnId="{F145FF4A-9DFB-4AB3-B97C-3D19322CE439}">
      <dgm:prSet/>
      <dgm:spPr/>
      <dgm:t>
        <a:bodyPr/>
        <a:lstStyle/>
        <a:p>
          <a:endParaRPr lang="pl-PL" sz="1050"/>
        </a:p>
      </dgm:t>
    </dgm:pt>
    <dgm:pt modelId="{A7137AD7-BF6E-4155-A15D-F4ED5A0765AA}" type="sibTrans" cxnId="{F145FF4A-9DFB-4AB3-B97C-3D19322CE439}">
      <dgm:prSet custT="1"/>
      <dgm:spPr/>
      <dgm:t>
        <a:bodyPr/>
        <a:lstStyle/>
        <a:p>
          <a:endParaRPr lang="pl-PL" sz="1050"/>
        </a:p>
      </dgm:t>
    </dgm:pt>
    <dgm:pt modelId="{D5104C7D-B733-483C-B543-25F0C71C08D9}">
      <dgm:prSet custT="1"/>
      <dgm:spPr/>
      <dgm:t>
        <a:bodyPr/>
        <a:lstStyle/>
        <a:p>
          <a:r>
            <a:rPr lang="pl-PL" sz="1050" b="0"/>
            <a:t>Przedstawienie dokumentów  stwierdzających prawidłowe wykonanie prac i oczyszczenia z azbestu.</a:t>
          </a:r>
        </a:p>
      </dgm:t>
    </dgm:pt>
    <dgm:pt modelId="{580CC0F5-7D8C-4F70-B8B3-399C447D6720}" type="parTrans" cxnId="{66064F36-5A12-4666-B178-55F0E06B8EEE}">
      <dgm:prSet/>
      <dgm:spPr/>
      <dgm:t>
        <a:bodyPr/>
        <a:lstStyle/>
        <a:p>
          <a:endParaRPr lang="pl-PL" sz="1050"/>
        </a:p>
      </dgm:t>
    </dgm:pt>
    <dgm:pt modelId="{30BDA964-2C35-4681-90A6-133A70FF207F}" type="sibTrans" cxnId="{66064F36-5A12-4666-B178-55F0E06B8EEE}">
      <dgm:prSet/>
      <dgm:spPr/>
      <dgm:t>
        <a:bodyPr/>
        <a:lstStyle/>
        <a:p>
          <a:endParaRPr lang="pl-PL" sz="1050"/>
        </a:p>
      </dgm:t>
    </dgm:pt>
    <dgm:pt modelId="{B22B5C09-9100-436B-9C6F-411082B4F8C2}" type="pres">
      <dgm:prSet presAssocID="{290941DE-A1DB-46F1-B03D-0105B16E5B2F}" presName="Name0" presStyleCnt="0">
        <dgm:presLayoutVars>
          <dgm:dir/>
          <dgm:resizeHandles val="exact"/>
        </dgm:presLayoutVars>
      </dgm:prSet>
      <dgm:spPr/>
    </dgm:pt>
    <dgm:pt modelId="{EBA11BF1-986E-4536-98A8-364577EA7B9B}" type="pres">
      <dgm:prSet presAssocID="{5C412DE9-7057-441A-8C91-C41600E9B5F3}" presName="node" presStyleLbl="node1" presStyleIdx="0" presStyleCnt="10">
        <dgm:presLayoutVars>
          <dgm:bulletEnabled val="1"/>
        </dgm:presLayoutVars>
      </dgm:prSet>
      <dgm:spPr/>
    </dgm:pt>
    <dgm:pt modelId="{1181FD1E-08FA-488E-9FCC-9319D142F28E}" type="pres">
      <dgm:prSet presAssocID="{81D96DCF-4228-41CA-82CC-25F433DE5C16}" presName="sibTrans" presStyleLbl="sibTrans1D1" presStyleIdx="0" presStyleCnt="9"/>
      <dgm:spPr/>
    </dgm:pt>
    <dgm:pt modelId="{E81B558C-CBBF-4E50-A46D-4F8BD0C4988A}" type="pres">
      <dgm:prSet presAssocID="{81D96DCF-4228-41CA-82CC-25F433DE5C16}" presName="connectorText" presStyleLbl="sibTrans1D1" presStyleIdx="0" presStyleCnt="9"/>
      <dgm:spPr/>
    </dgm:pt>
    <dgm:pt modelId="{B3E79C7E-4A29-4263-B041-931FD0C9D871}" type="pres">
      <dgm:prSet presAssocID="{071E8585-3E73-4F0D-BF39-0D93A1C8C681}" presName="node" presStyleLbl="node1" presStyleIdx="1" presStyleCnt="10">
        <dgm:presLayoutVars>
          <dgm:bulletEnabled val="1"/>
        </dgm:presLayoutVars>
      </dgm:prSet>
      <dgm:spPr/>
    </dgm:pt>
    <dgm:pt modelId="{27F3B7D1-5BB8-40A1-A160-A2A330879F9D}" type="pres">
      <dgm:prSet presAssocID="{EA65DC71-A253-4079-98C2-1DB653F09656}" presName="sibTrans" presStyleLbl="sibTrans1D1" presStyleIdx="1" presStyleCnt="9"/>
      <dgm:spPr/>
    </dgm:pt>
    <dgm:pt modelId="{359AC4B4-2C48-4725-8693-760DB93EBC41}" type="pres">
      <dgm:prSet presAssocID="{EA65DC71-A253-4079-98C2-1DB653F09656}" presName="connectorText" presStyleLbl="sibTrans1D1" presStyleIdx="1" presStyleCnt="9"/>
      <dgm:spPr/>
    </dgm:pt>
    <dgm:pt modelId="{A7D1E759-8F10-4114-A25F-09B2988F608B}" type="pres">
      <dgm:prSet presAssocID="{730312BD-7AA1-44B1-9D76-3184C5170F58}" presName="node" presStyleLbl="node1" presStyleIdx="2" presStyleCnt="10">
        <dgm:presLayoutVars>
          <dgm:bulletEnabled val="1"/>
        </dgm:presLayoutVars>
      </dgm:prSet>
      <dgm:spPr/>
    </dgm:pt>
    <dgm:pt modelId="{3919D872-B3A3-4EC0-86A5-1AAF43547F09}" type="pres">
      <dgm:prSet presAssocID="{EF2340CE-7274-4A41-B3D9-9A9BE5A4D87A}" presName="sibTrans" presStyleLbl="sibTrans1D1" presStyleIdx="2" presStyleCnt="9"/>
      <dgm:spPr/>
    </dgm:pt>
    <dgm:pt modelId="{7755FD52-8BF6-42D9-8470-CFA28198F399}" type="pres">
      <dgm:prSet presAssocID="{EF2340CE-7274-4A41-B3D9-9A9BE5A4D87A}" presName="connectorText" presStyleLbl="sibTrans1D1" presStyleIdx="2" presStyleCnt="9"/>
      <dgm:spPr/>
    </dgm:pt>
    <dgm:pt modelId="{4610F32A-E761-47E9-9B10-D57160F33225}" type="pres">
      <dgm:prSet presAssocID="{D1A96D63-6435-406B-AAA1-DD834F9590D2}" presName="node" presStyleLbl="node1" presStyleIdx="3" presStyleCnt="10" custLinFactNeighborX="-3856" custLinFactNeighborY="51">
        <dgm:presLayoutVars>
          <dgm:bulletEnabled val="1"/>
        </dgm:presLayoutVars>
      </dgm:prSet>
      <dgm:spPr/>
    </dgm:pt>
    <dgm:pt modelId="{FDB34492-2D1A-4520-8349-3FD5D6145923}" type="pres">
      <dgm:prSet presAssocID="{5744942C-8D0E-483E-9230-67C39FF5413A}" presName="sibTrans" presStyleLbl="sibTrans1D1" presStyleIdx="3" presStyleCnt="9"/>
      <dgm:spPr/>
    </dgm:pt>
    <dgm:pt modelId="{98D6B273-95BE-4D94-98E7-BE92CBA0AEA7}" type="pres">
      <dgm:prSet presAssocID="{5744942C-8D0E-483E-9230-67C39FF5413A}" presName="connectorText" presStyleLbl="sibTrans1D1" presStyleIdx="3" presStyleCnt="9"/>
      <dgm:spPr/>
    </dgm:pt>
    <dgm:pt modelId="{6BAA4831-CB5F-41DD-8D1A-10986123DE23}" type="pres">
      <dgm:prSet presAssocID="{7E6E47BA-A62E-418C-8AC6-12FE035181BE}" presName="node" presStyleLbl="node1" presStyleIdx="4" presStyleCnt="10">
        <dgm:presLayoutVars>
          <dgm:bulletEnabled val="1"/>
        </dgm:presLayoutVars>
      </dgm:prSet>
      <dgm:spPr/>
    </dgm:pt>
    <dgm:pt modelId="{6F9440A1-7030-493F-A639-FE0615E77D15}" type="pres">
      <dgm:prSet presAssocID="{81A7DC3A-C1DA-4989-938C-F093CCDEC852}" presName="sibTrans" presStyleLbl="sibTrans1D1" presStyleIdx="4" presStyleCnt="9"/>
      <dgm:spPr/>
    </dgm:pt>
    <dgm:pt modelId="{7D09C119-E708-4137-AF05-2068D328EB18}" type="pres">
      <dgm:prSet presAssocID="{81A7DC3A-C1DA-4989-938C-F093CCDEC852}" presName="connectorText" presStyleLbl="sibTrans1D1" presStyleIdx="4" presStyleCnt="9"/>
      <dgm:spPr/>
    </dgm:pt>
    <dgm:pt modelId="{E81F043A-D6B4-4185-8C33-AF5DDDB9B3FF}" type="pres">
      <dgm:prSet presAssocID="{EED90470-F772-43C0-9A67-2F61F0A5158E}" presName="node" presStyleLbl="node1" presStyleIdx="5" presStyleCnt="10">
        <dgm:presLayoutVars>
          <dgm:bulletEnabled val="1"/>
        </dgm:presLayoutVars>
      </dgm:prSet>
      <dgm:spPr/>
    </dgm:pt>
    <dgm:pt modelId="{725237AA-0124-4536-8D7B-52FBB1F5BC7A}" type="pres">
      <dgm:prSet presAssocID="{9FD9EE72-7747-4AED-BF36-3A74F61B4F24}" presName="sibTrans" presStyleLbl="sibTrans1D1" presStyleIdx="5" presStyleCnt="9"/>
      <dgm:spPr/>
    </dgm:pt>
    <dgm:pt modelId="{1E2DF75C-AFD3-4A59-A43D-07260BB68F05}" type="pres">
      <dgm:prSet presAssocID="{9FD9EE72-7747-4AED-BF36-3A74F61B4F24}" presName="connectorText" presStyleLbl="sibTrans1D1" presStyleIdx="5" presStyleCnt="9"/>
      <dgm:spPr/>
    </dgm:pt>
    <dgm:pt modelId="{F54D4DB2-3349-4F00-8B15-6591602A5E9C}" type="pres">
      <dgm:prSet presAssocID="{6EF90803-C57D-4E1C-B56D-A0179806B921}" presName="node" presStyleLbl="node1" presStyleIdx="6" presStyleCnt="10">
        <dgm:presLayoutVars>
          <dgm:bulletEnabled val="1"/>
        </dgm:presLayoutVars>
      </dgm:prSet>
      <dgm:spPr/>
    </dgm:pt>
    <dgm:pt modelId="{C0D17A1F-9EAB-4D12-817B-73219D8FDE16}" type="pres">
      <dgm:prSet presAssocID="{DAE72142-3B23-4B66-AC3C-4B172B4ABD64}" presName="sibTrans" presStyleLbl="sibTrans1D1" presStyleIdx="6" presStyleCnt="9"/>
      <dgm:spPr/>
    </dgm:pt>
    <dgm:pt modelId="{6D4FAAC2-10A2-4D9F-BBFD-AC277B4925AE}" type="pres">
      <dgm:prSet presAssocID="{DAE72142-3B23-4B66-AC3C-4B172B4ABD64}" presName="connectorText" presStyleLbl="sibTrans1D1" presStyleIdx="6" presStyleCnt="9"/>
      <dgm:spPr/>
    </dgm:pt>
    <dgm:pt modelId="{88DE9C6C-6D49-43CF-8385-A41F6FA671BB}" type="pres">
      <dgm:prSet presAssocID="{CE3B3BD3-35DC-425B-96C9-94650FF5DC1C}" presName="node" presStyleLbl="node1" presStyleIdx="7" presStyleCnt="10" custLinFactNeighborX="968" custLinFactNeighborY="-32">
        <dgm:presLayoutVars>
          <dgm:bulletEnabled val="1"/>
        </dgm:presLayoutVars>
      </dgm:prSet>
      <dgm:spPr/>
    </dgm:pt>
    <dgm:pt modelId="{67754DB0-79EE-4FD0-AFF3-EC4D2F9BFDEA}" type="pres">
      <dgm:prSet presAssocID="{DC22C0ED-75C6-4214-860E-3F6DDA76183E}" presName="sibTrans" presStyleLbl="sibTrans1D1" presStyleIdx="7" presStyleCnt="9"/>
      <dgm:spPr/>
    </dgm:pt>
    <dgm:pt modelId="{33CD3A3D-F9E5-4AF3-8B90-78D0C5EB3772}" type="pres">
      <dgm:prSet presAssocID="{DC22C0ED-75C6-4214-860E-3F6DDA76183E}" presName="connectorText" presStyleLbl="sibTrans1D1" presStyleIdx="7" presStyleCnt="9"/>
      <dgm:spPr/>
    </dgm:pt>
    <dgm:pt modelId="{8742F127-F384-4D8B-96AE-61E306EE3B88}" type="pres">
      <dgm:prSet presAssocID="{6587D3C4-F0A2-462E-A0A3-E83E537F68A4}" presName="node" presStyleLbl="node1" presStyleIdx="8" presStyleCnt="10" custLinFactNeighborX="5612" custLinFactNeighborY="32">
        <dgm:presLayoutVars>
          <dgm:bulletEnabled val="1"/>
        </dgm:presLayoutVars>
      </dgm:prSet>
      <dgm:spPr/>
    </dgm:pt>
    <dgm:pt modelId="{3DC71C58-DDCE-4D62-A700-3BFE79F0DC82}" type="pres">
      <dgm:prSet presAssocID="{A7137AD7-BF6E-4155-A15D-F4ED5A0765AA}" presName="sibTrans" presStyleLbl="sibTrans1D1" presStyleIdx="8" presStyleCnt="9"/>
      <dgm:spPr/>
    </dgm:pt>
    <dgm:pt modelId="{04D99072-AD68-4EA0-AD0A-65D7AC6C955A}" type="pres">
      <dgm:prSet presAssocID="{A7137AD7-BF6E-4155-A15D-F4ED5A0765AA}" presName="connectorText" presStyleLbl="sibTrans1D1" presStyleIdx="8" presStyleCnt="9"/>
      <dgm:spPr/>
    </dgm:pt>
    <dgm:pt modelId="{AE06BB4B-262E-4478-9F4F-265D572ACAB8}" type="pres">
      <dgm:prSet presAssocID="{D5104C7D-B733-483C-B543-25F0C71C08D9}" presName="node" presStyleLbl="node1" presStyleIdx="9" presStyleCnt="10">
        <dgm:presLayoutVars>
          <dgm:bulletEnabled val="1"/>
        </dgm:presLayoutVars>
      </dgm:prSet>
      <dgm:spPr/>
    </dgm:pt>
  </dgm:ptLst>
  <dgm:cxnLst>
    <dgm:cxn modelId="{36055605-E78C-454E-BF05-2BDCB5CD6F48}" srcId="{290941DE-A1DB-46F1-B03D-0105B16E5B2F}" destId="{EED90470-F772-43C0-9A67-2F61F0A5158E}" srcOrd="5" destOrd="0" parTransId="{046DCB86-025F-4F68-B1C4-92CBB6FC8ED3}" sibTransId="{9FD9EE72-7747-4AED-BF36-3A74F61B4F24}"/>
    <dgm:cxn modelId="{086EA005-894A-4171-9C21-5B43850D15B7}" type="presOf" srcId="{6587D3C4-F0A2-462E-A0A3-E83E537F68A4}" destId="{8742F127-F384-4D8B-96AE-61E306EE3B88}" srcOrd="0" destOrd="0" presId="urn:microsoft.com/office/officeart/2005/8/layout/bProcess3"/>
    <dgm:cxn modelId="{3B1A200F-7CBF-433F-BC0A-46EFAABB4B49}" type="presOf" srcId="{9FD9EE72-7747-4AED-BF36-3A74F61B4F24}" destId="{725237AA-0124-4536-8D7B-52FBB1F5BC7A}" srcOrd="0" destOrd="0" presId="urn:microsoft.com/office/officeart/2005/8/layout/bProcess3"/>
    <dgm:cxn modelId="{7580640F-0E49-42D1-9632-2D0E8B8284ED}" type="presOf" srcId="{81D96DCF-4228-41CA-82CC-25F433DE5C16}" destId="{1181FD1E-08FA-488E-9FCC-9319D142F28E}" srcOrd="0" destOrd="0" presId="urn:microsoft.com/office/officeart/2005/8/layout/bProcess3"/>
    <dgm:cxn modelId="{D0C82911-72DD-4339-A861-734F7CF5EB19}" type="presOf" srcId="{81A7DC3A-C1DA-4989-938C-F093CCDEC852}" destId="{7D09C119-E708-4137-AF05-2068D328EB18}" srcOrd="1" destOrd="0" presId="urn:microsoft.com/office/officeart/2005/8/layout/bProcess3"/>
    <dgm:cxn modelId="{D5F30A15-4B7C-4937-B043-E0BD7F48384B}" type="presOf" srcId="{290941DE-A1DB-46F1-B03D-0105B16E5B2F}" destId="{B22B5C09-9100-436B-9C6F-411082B4F8C2}" srcOrd="0" destOrd="0" presId="urn:microsoft.com/office/officeart/2005/8/layout/bProcess3"/>
    <dgm:cxn modelId="{B201C020-5260-4ABE-A236-D14E8A420DC3}" type="presOf" srcId="{DAE72142-3B23-4B66-AC3C-4B172B4ABD64}" destId="{C0D17A1F-9EAB-4D12-817B-73219D8FDE16}" srcOrd="0" destOrd="0" presId="urn:microsoft.com/office/officeart/2005/8/layout/bProcess3"/>
    <dgm:cxn modelId="{56C0A934-8C87-422E-B5A5-66880C85EADE}" type="presOf" srcId="{D5104C7D-B733-483C-B543-25F0C71C08D9}" destId="{AE06BB4B-262E-4478-9F4F-265D572ACAB8}" srcOrd="0" destOrd="0" presId="urn:microsoft.com/office/officeart/2005/8/layout/bProcess3"/>
    <dgm:cxn modelId="{66064F36-5A12-4666-B178-55F0E06B8EEE}" srcId="{290941DE-A1DB-46F1-B03D-0105B16E5B2F}" destId="{D5104C7D-B733-483C-B543-25F0C71C08D9}" srcOrd="9" destOrd="0" parTransId="{580CC0F5-7D8C-4F70-B8B3-399C447D6720}" sibTransId="{30BDA964-2C35-4681-90A6-133A70FF207F}"/>
    <dgm:cxn modelId="{2BF1FB5C-CD68-4A71-844D-B11C1594E93C}" type="presOf" srcId="{DC22C0ED-75C6-4214-860E-3F6DDA76183E}" destId="{67754DB0-79EE-4FD0-AFF3-EC4D2F9BFDEA}" srcOrd="0" destOrd="0" presId="urn:microsoft.com/office/officeart/2005/8/layout/bProcess3"/>
    <dgm:cxn modelId="{62DC4863-7DAC-4C1B-81D8-F5BA3B15D976}" type="presOf" srcId="{5744942C-8D0E-483E-9230-67C39FF5413A}" destId="{FDB34492-2D1A-4520-8349-3FD5D6145923}" srcOrd="0" destOrd="0" presId="urn:microsoft.com/office/officeart/2005/8/layout/bProcess3"/>
    <dgm:cxn modelId="{F145FF4A-9DFB-4AB3-B97C-3D19322CE439}" srcId="{290941DE-A1DB-46F1-B03D-0105B16E5B2F}" destId="{6587D3C4-F0A2-462E-A0A3-E83E537F68A4}" srcOrd="8" destOrd="0" parTransId="{98C157E5-169B-4D4E-BC76-BB15CA8E7D0F}" sibTransId="{A7137AD7-BF6E-4155-A15D-F4ED5A0765AA}"/>
    <dgm:cxn modelId="{5F80C14C-A16D-40B9-9D74-165E90332755}" type="presOf" srcId="{5744942C-8D0E-483E-9230-67C39FF5413A}" destId="{98D6B273-95BE-4D94-98E7-BE92CBA0AEA7}" srcOrd="1" destOrd="0" presId="urn:microsoft.com/office/officeart/2005/8/layout/bProcess3"/>
    <dgm:cxn modelId="{1186C356-AA4C-401E-8550-30DE1CA3654F}" srcId="{290941DE-A1DB-46F1-B03D-0105B16E5B2F}" destId="{D1A96D63-6435-406B-AAA1-DD834F9590D2}" srcOrd="3" destOrd="0" parTransId="{228405FB-4401-4C81-B57D-8600070D4630}" sibTransId="{5744942C-8D0E-483E-9230-67C39FF5413A}"/>
    <dgm:cxn modelId="{0BB8D876-73C1-407B-A745-1920D765846C}" type="presOf" srcId="{6EF90803-C57D-4E1C-B56D-A0179806B921}" destId="{F54D4DB2-3349-4F00-8B15-6591602A5E9C}" srcOrd="0" destOrd="0" presId="urn:microsoft.com/office/officeart/2005/8/layout/bProcess3"/>
    <dgm:cxn modelId="{7C1CFE76-EF27-4A85-B534-16FD73608D80}" srcId="{290941DE-A1DB-46F1-B03D-0105B16E5B2F}" destId="{071E8585-3E73-4F0D-BF39-0D93A1C8C681}" srcOrd="1" destOrd="0" parTransId="{7AC14C30-0099-47E1-86F8-ED2E90365331}" sibTransId="{EA65DC71-A253-4079-98C2-1DB653F09656}"/>
    <dgm:cxn modelId="{62BE3688-B25C-4A7A-8877-7C03419C14CF}" type="presOf" srcId="{730312BD-7AA1-44B1-9D76-3184C5170F58}" destId="{A7D1E759-8F10-4114-A25F-09B2988F608B}" srcOrd="0" destOrd="0" presId="urn:microsoft.com/office/officeart/2005/8/layout/bProcess3"/>
    <dgm:cxn modelId="{C27C8B93-B61B-4C33-BE18-FE8BE051D79E}" type="presOf" srcId="{071E8585-3E73-4F0D-BF39-0D93A1C8C681}" destId="{B3E79C7E-4A29-4263-B041-931FD0C9D871}" srcOrd="0" destOrd="0" presId="urn:microsoft.com/office/officeart/2005/8/layout/bProcess3"/>
    <dgm:cxn modelId="{373BDC96-5F18-4F3C-B572-BAE477697462}" type="presOf" srcId="{7E6E47BA-A62E-418C-8AC6-12FE035181BE}" destId="{6BAA4831-CB5F-41DD-8D1A-10986123DE23}" srcOrd="0" destOrd="0" presId="urn:microsoft.com/office/officeart/2005/8/layout/bProcess3"/>
    <dgm:cxn modelId="{9693989B-CC1E-4A42-ABDA-62DD3FB46183}" type="presOf" srcId="{EA65DC71-A253-4079-98C2-1DB653F09656}" destId="{27F3B7D1-5BB8-40A1-A160-A2A330879F9D}" srcOrd="0" destOrd="0" presId="urn:microsoft.com/office/officeart/2005/8/layout/bProcess3"/>
    <dgm:cxn modelId="{416FBD9C-0181-449D-BA8A-3BFBB32B9133}" type="presOf" srcId="{DC22C0ED-75C6-4214-860E-3F6DDA76183E}" destId="{33CD3A3D-F9E5-4AF3-8B90-78D0C5EB3772}" srcOrd="1" destOrd="0" presId="urn:microsoft.com/office/officeart/2005/8/layout/bProcess3"/>
    <dgm:cxn modelId="{CAAC64A0-8F72-44DA-944B-EE8A0F3FA30B}" type="presOf" srcId="{D1A96D63-6435-406B-AAA1-DD834F9590D2}" destId="{4610F32A-E761-47E9-9B10-D57160F33225}" srcOrd="0" destOrd="0" presId="urn:microsoft.com/office/officeart/2005/8/layout/bProcess3"/>
    <dgm:cxn modelId="{59CA9DA0-BC5F-4918-BA3C-B687A29D7964}" srcId="{290941DE-A1DB-46F1-B03D-0105B16E5B2F}" destId="{730312BD-7AA1-44B1-9D76-3184C5170F58}" srcOrd="2" destOrd="0" parTransId="{5E4ED77C-2A43-4942-B176-8220DC4636DB}" sibTransId="{EF2340CE-7274-4A41-B3D9-9A9BE5A4D87A}"/>
    <dgm:cxn modelId="{409B2BA4-FDBD-47AD-95F9-53C0730A8507}" type="presOf" srcId="{A7137AD7-BF6E-4155-A15D-F4ED5A0765AA}" destId="{04D99072-AD68-4EA0-AD0A-65D7AC6C955A}" srcOrd="1" destOrd="0" presId="urn:microsoft.com/office/officeart/2005/8/layout/bProcess3"/>
    <dgm:cxn modelId="{F72CC2A4-AF38-4F66-A44D-2EED50F9EE32}" type="presOf" srcId="{9FD9EE72-7747-4AED-BF36-3A74F61B4F24}" destId="{1E2DF75C-AFD3-4A59-A43D-07260BB68F05}" srcOrd="1" destOrd="0" presId="urn:microsoft.com/office/officeart/2005/8/layout/bProcess3"/>
    <dgm:cxn modelId="{5DDF37AA-0A66-48AA-A6CC-B090634FB4BB}" srcId="{290941DE-A1DB-46F1-B03D-0105B16E5B2F}" destId="{7E6E47BA-A62E-418C-8AC6-12FE035181BE}" srcOrd="4" destOrd="0" parTransId="{46FEFA24-FD12-47AB-BC2C-920EBB449EAC}" sibTransId="{81A7DC3A-C1DA-4989-938C-F093CCDEC852}"/>
    <dgm:cxn modelId="{1B35E7B9-37C3-41D3-92C9-2046EAF93953}" type="presOf" srcId="{CE3B3BD3-35DC-425B-96C9-94650FF5DC1C}" destId="{88DE9C6C-6D49-43CF-8385-A41F6FA671BB}" srcOrd="0" destOrd="0" presId="urn:microsoft.com/office/officeart/2005/8/layout/bProcess3"/>
    <dgm:cxn modelId="{B847EEB9-50A9-491B-8DA5-EFC6CB3604D7}" type="presOf" srcId="{81D96DCF-4228-41CA-82CC-25F433DE5C16}" destId="{E81B558C-CBBF-4E50-A46D-4F8BD0C4988A}" srcOrd="1" destOrd="0" presId="urn:microsoft.com/office/officeart/2005/8/layout/bProcess3"/>
    <dgm:cxn modelId="{15D7EACA-109E-4BC7-AF81-E9D259333FD2}" type="presOf" srcId="{A7137AD7-BF6E-4155-A15D-F4ED5A0765AA}" destId="{3DC71C58-DDCE-4D62-A700-3BFE79F0DC82}" srcOrd="0" destOrd="0" presId="urn:microsoft.com/office/officeart/2005/8/layout/bProcess3"/>
    <dgm:cxn modelId="{BC1038D4-3958-4840-AD46-FB58D07EF6D9}" type="presOf" srcId="{DAE72142-3B23-4B66-AC3C-4B172B4ABD64}" destId="{6D4FAAC2-10A2-4D9F-BBFD-AC277B4925AE}" srcOrd="1" destOrd="0" presId="urn:microsoft.com/office/officeart/2005/8/layout/bProcess3"/>
    <dgm:cxn modelId="{2E25D5D5-E1FD-4F74-A286-9ED821F445F5}" type="presOf" srcId="{EED90470-F772-43C0-9A67-2F61F0A5158E}" destId="{E81F043A-D6B4-4185-8C33-AF5DDDB9B3FF}" srcOrd="0" destOrd="0" presId="urn:microsoft.com/office/officeart/2005/8/layout/bProcess3"/>
    <dgm:cxn modelId="{47E1E1DC-75DB-4A59-A158-ADFCB7FB29D4}" type="presOf" srcId="{EF2340CE-7274-4A41-B3D9-9A9BE5A4D87A}" destId="{3919D872-B3A3-4EC0-86A5-1AAF43547F09}" srcOrd="0" destOrd="0" presId="urn:microsoft.com/office/officeart/2005/8/layout/bProcess3"/>
    <dgm:cxn modelId="{481715DD-7E59-42D6-8214-B1FB0EE6B23C}" type="presOf" srcId="{EF2340CE-7274-4A41-B3D9-9A9BE5A4D87A}" destId="{7755FD52-8BF6-42D9-8470-CFA28198F399}" srcOrd="1" destOrd="0" presId="urn:microsoft.com/office/officeart/2005/8/layout/bProcess3"/>
    <dgm:cxn modelId="{6F3BD7E1-087F-4CCA-8326-BB6937E70FD0}" srcId="{290941DE-A1DB-46F1-B03D-0105B16E5B2F}" destId="{5C412DE9-7057-441A-8C91-C41600E9B5F3}" srcOrd="0" destOrd="0" parTransId="{AE4E9A24-47BD-4690-AF30-14A690F1AA44}" sibTransId="{81D96DCF-4228-41CA-82CC-25F433DE5C16}"/>
    <dgm:cxn modelId="{6580B3E2-D637-4EE2-8C0F-83FA365C1D36}" type="presOf" srcId="{5C412DE9-7057-441A-8C91-C41600E9B5F3}" destId="{EBA11BF1-986E-4536-98A8-364577EA7B9B}" srcOrd="0" destOrd="0" presId="urn:microsoft.com/office/officeart/2005/8/layout/bProcess3"/>
    <dgm:cxn modelId="{A516CDE2-B845-490B-8227-F9DDEEA9C291}" srcId="{290941DE-A1DB-46F1-B03D-0105B16E5B2F}" destId="{CE3B3BD3-35DC-425B-96C9-94650FF5DC1C}" srcOrd="7" destOrd="0" parTransId="{42968BFC-4BDC-4949-BF44-965904858139}" sibTransId="{DC22C0ED-75C6-4214-860E-3F6DDA76183E}"/>
    <dgm:cxn modelId="{5EB1F3E2-20A7-4382-BA80-7BEE306B3047}" type="presOf" srcId="{EA65DC71-A253-4079-98C2-1DB653F09656}" destId="{359AC4B4-2C48-4725-8693-760DB93EBC41}" srcOrd="1" destOrd="0" presId="urn:microsoft.com/office/officeart/2005/8/layout/bProcess3"/>
    <dgm:cxn modelId="{B64017F2-298E-4FBE-8A8D-3322555556CB}" type="presOf" srcId="{81A7DC3A-C1DA-4989-938C-F093CCDEC852}" destId="{6F9440A1-7030-493F-A639-FE0615E77D15}" srcOrd="0" destOrd="0" presId="urn:microsoft.com/office/officeart/2005/8/layout/bProcess3"/>
    <dgm:cxn modelId="{4FA96FF6-79C4-4E09-AAD7-4453B60E3C5B}" srcId="{290941DE-A1DB-46F1-B03D-0105B16E5B2F}" destId="{6EF90803-C57D-4E1C-B56D-A0179806B921}" srcOrd="6" destOrd="0" parTransId="{8EE11197-FC64-4553-A565-74052F42D607}" sibTransId="{DAE72142-3B23-4B66-AC3C-4B172B4ABD64}"/>
    <dgm:cxn modelId="{41C984E4-09D0-46BB-9FDF-C7348A6045D7}" type="presParOf" srcId="{B22B5C09-9100-436B-9C6F-411082B4F8C2}" destId="{EBA11BF1-986E-4536-98A8-364577EA7B9B}" srcOrd="0" destOrd="0" presId="urn:microsoft.com/office/officeart/2005/8/layout/bProcess3"/>
    <dgm:cxn modelId="{72E19477-90FC-441F-AFCA-1078702A3045}" type="presParOf" srcId="{B22B5C09-9100-436B-9C6F-411082B4F8C2}" destId="{1181FD1E-08FA-488E-9FCC-9319D142F28E}" srcOrd="1" destOrd="0" presId="urn:microsoft.com/office/officeart/2005/8/layout/bProcess3"/>
    <dgm:cxn modelId="{12D66142-7569-44A8-B19A-F8035D9E9AAF}" type="presParOf" srcId="{1181FD1E-08FA-488E-9FCC-9319D142F28E}" destId="{E81B558C-CBBF-4E50-A46D-4F8BD0C4988A}" srcOrd="0" destOrd="0" presId="urn:microsoft.com/office/officeart/2005/8/layout/bProcess3"/>
    <dgm:cxn modelId="{A1B7063B-0F33-4F59-AF27-75DAC4E4DBCD}" type="presParOf" srcId="{B22B5C09-9100-436B-9C6F-411082B4F8C2}" destId="{B3E79C7E-4A29-4263-B041-931FD0C9D871}" srcOrd="2" destOrd="0" presId="urn:microsoft.com/office/officeart/2005/8/layout/bProcess3"/>
    <dgm:cxn modelId="{2229F740-EA81-455D-849B-776A08D13F8A}" type="presParOf" srcId="{B22B5C09-9100-436B-9C6F-411082B4F8C2}" destId="{27F3B7D1-5BB8-40A1-A160-A2A330879F9D}" srcOrd="3" destOrd="0" presId="urn:microsoft.com/office/officeart/2005/8/layout/bProcess3"/>
    <dgm:cxn modelId="{DC6BFF9A-C214-4282-B003-197D55A1FA6A}" type="presParOf" srcId="{27F3B7D1-5BB8-40A1-A160-A2A330879F9D}" destId="{359AC4B4-2C48-4725-8693-760DB93EBC41}" srcOrd="0" destOrd="0" presId="urn:microsoft.com/office/officeart/2005/8/layout/bProcess3"/>
    <dgm:cxn modelId="{5A2101D4-9747-48D9-89F1-18C8CEEEC292}" type="presParOf" srcId="{B22B5C09-9100-436B-9C6F-411082B4F8C2}" destId="{A7D1E759-8F10-4114-A25F-09B2988F608B}" srcOrd="4" destOrd="0" presId="urn:microsoft.com/office/officeart/2005/8/layout/bProcess3"/>
    <dgm:cxn modelId="{7C53772F-0B5C-4E37-AF83-4C88F8259D42}" type="presParOf" srcId="{B22B5C09-9100-436B-9C6F-411082B4F8C2}" destId="{3919D872-B3A3-4EC0-86A5-1AAF43547F09}" srcOrd="5" destOrd="0" presId="urn:microsoft.com/office/officeart/2005/8/layout/bProcess3"/>
    <dgm:cxn modelId="{09D2FE7A-497B-43C2-A561-7443A888D9AD}" type="presParOf" srcId="{3919D872-B3A3-4EC0-86A5-1AAF43547F09}" destId="{7755FD52-8BF6-42D9-8470-CFA28198F399}" srcOrd="0" destOrd="0" presId="urn:microsoft.com/office/officeart/2005/8/layout/bProcess3"/>
    <dgm:cxn modelId="{24293E93-3011-46C5-8058-4800D1E48B2E}" type="presParOf" srcId="{B22B5C09-9100-436B-9C6F-411082B4F8C2}" destId="{4610F32A-E761-47E9-9B10-D57160F33225}" srcOrd="6" destOrd="0" presId="urn:microsoft.com/office/officeart/2005/8/layout/bProcess3"/>
    <dgm:cxn modelId="{A6248BF3-67C7-424B-BE52-CA157A3A7132}" type="presParOf" srcId="{B22B5C09-9100-436B-9C6F-411082B4F8C2}" destId="{FDB34492-2D1A-4520-8349-3FD5D6145923}" srcOrd="7" destOrd="0" presId="urn:microsoft.com/office/officeart/2005/8/layout/bProcess3"/>
    <dgm:cxn modelId="{187F7262-D884-4C64-9BE9-12B4A1A8030C}" type="presParOf" srcId="{FDB34492-2D1A-4520-8349-3FD5D6145923}" destId="{98D6B273-95BE-4D94-98E7-BE92CBA0AEA7}" srcOrd="0" destOrd="0" presId="urn:microsoft.com/office/officeart/2005/8/layout/bProcess3"/>
    <dgm:cxn modelId="{C95A2309-7810-46DB-B580-E85B42DF2981}" type="presParOf" srcId="{B22B5C09-9100-436B-9C6F-411082B4F8C2}" destId="{6BAA4831-CB5F-41DD-8D1A-10986123DE23}" srcOrd="8" destOrd="0" presId="urn:microsoft.com/office/officeart/2005/8/layout/bProcess3"/>
    <dgm:cxn modelId="{920040F7-87EB-429E-B017-7DAFC69C4E05}" type="presParOf" srcId="{B22B5C09-9100-436B-9C6F-411082B4F8C2}" destId="{6F9440A1-7030-493F-A639-FE0615E77D15}" srcOrd="9" destOrd="0" presId="urn:microsoft.com/office/officeart/2005/8/layout/bProcess3"/>
    <dgm:cxn modelId="{E2D77B2B-AAE2-4330-BDC8-C39DF9C49294}" type="presParOf" srcId="{6F9440A1-7030-493F-A639-FE0615E77D15}" destId="{7D09C119-E708-4137-AF05-2068D328EB18}" srcOrd="0" destOrd="0" presId="urn:microsoft.com/office/officeart/2005/8/layout/bProcess3"/>
    <dgm:cxn modelId="{A5A28DC8-9D16-4A79-B456-404E2BE62210}" type="presParOf" srcId="{B22B5C09-9100-436B-9C6F-411082B4F8C2}" destId="{E81F043A-D6B4-4185-8C33-AF5DDDB9B3FF}" srcOrd="10" destOrd="0" presId="urn:microsoft.com/office/officeart/2005/8/layout/bProcess3"/>
    <dgm:cxn modelId="{3C5433B1-A251-465C-BC2A-DF66CEC264D7}" type="presParOf" srcId="{B22B5C09-9100-436B-9C6F-411082B4F8C2}" destId="{725237AA-0124-4536-8D7B-52FBB1F5BC7A}" srcOrd="11" destOrd="0" presId="urn:microsoft.com/office/officeart/2005/8/layout/bProcess3"/>
    <dgm:cxn modelId="{F249D0DF-50D7-4855-889F-EFFF5D75C5FB}" type="presParOf" srcId="{725237AA-0124-4536-8D7B-52FBB1F5BC7A}" destId="{1E2DF75C-AFD3-4A59-A43D-07260BB68F05}" srcOrd="0" destOrd="0" presId="urn:microsoft.com/office/officeart/2005/8/layout/bProcess3"/>
    <dgm:cxn modelId="{343587B7-DF34-4156-A405-FE35F1BFEC97}" type="presParOf" srcId="{B22B5C09-9100-436B-9C6F-411082B4F8C2}" destId="{F54D4DB2-3349-4F00-8B15-6591602A5E9C}" srcOrd="12" destOrd="0" presId="urn:microsoft.com/office/officeart/2005/8/layout/bProcess3"/>
    <dgm:cxn modelId="{DA3FE851-8EB3-431F-862B-E627C1CACF2B}" type="presParOf" srcId="{B22B5C09-9100-436B-9C6F-411082B4F8C2}" destId="{C0D17A1F-9EAB-4D12-817B-73219D8FDE16}" srcOrd="13" destOrd="0" presId="urn:microsoft.com/office/officeart/2005/8/layout/bProcess3"/>
    <dgm:cxn modelId="{DBDB0853-FEAA-483A-B587-DE542D12C3CD}" type="presParOf" srcId="{C0D17A1F-9EAB-4D12-817B-73219D8FDE16}" destId="{6D4FAAC2-10A2-4D9F-BBFD-AC277B4925AE}" srcOrd="0" destOrd="0" presId="urn:microsoft.com/office/officeart/2005/8/layout/bProcess3"/>
    <dgm:cxn modelId="{2C199115-ADD4-4DC8-8532-86C19F9230C9}" type="presParOf" srcId="{B22B5C09-9100-436B-9C6F-411082B4F8C2}" destId="{88DE9C6C-6D49-43CF-8385-A41F6FA671BB}" srcOrd="14" destOrd="0" presId="urn:microsoft.com/office/officeart/2005/8/layout/bProcess3"/>
    <dgm:cxn modelId="{349546AF-A255-4DD4-9BF9-538577F033E9}" type="presParOf" srcId="{B22B5C09-9100-436B-9C6F-411082B4F8C2}" destId="{67754DB0-79EE-4FD0-AFF3-EC4D2F9BFDEA}" srcOrd="15" destOrd="0" presId="urn:microsoft.com/office/officeart/2005/8/layout/bProcess3"/>
    <dgm:cxn modelId="{D88C8E19-1DC1-4C9E-B40B-7C99AB03AAF1}" type="presParOf" srcId="{67754DB0-79EE-4FD0-AFF3-EC4D2F9BFDEA}" destId="{33CD3A3D-F9E5-4AF3-8B90-78D0C5EB3772}" srcOrd="0" destOrd="0" presId="urn:microsoft.com/office/officeart/2005/8/layout/bProcess3"/>
    <dgm:cxn modelId="{234B6E55-81D6-43ED-86D4-75380E7D82F1}" type="presParOf" srcId="{B22B5C09-9100-436B-9C6F-411082B4F8C2}" destId="{8742F127-F384-4D8B-96AE-61E306EE3B88}" srcOrd="16" destOrd="0" presId="urn:microsoft.com/office/officeart/2005/8/layout/bProcess3"/>
    <dgm:cxn modelId="{DE802601-DCF5-49A6-8CC2-A176E9219243}" type="presParOf" srcId="{B22B5C09-9100-436B-9C6F-411082B4F8C2}" destId="{3DC71C58-DDCE-4D62-A700-3BFE79F0DC82}" srcOrd="17" destOrd="0" presId="urn:microsoft.com/office/officeart/2005/8/layout/bProcess3"/>
    <dgm:cxn modelId="{E58A12D2-0924-492A-9906-3481663519D7}" type="presParOf" srcId="{3DC71C58-DDCE-4D62-A700-3BFE79F0DC82}" destId="{04D99072-AD68-4EA0-AD0A-65D7AC6C955A}" srcOrd="0" destOrd="0" presId="urn:microsoft.com/office/officeart/2005/8/layout/bProcess3"/>
    <dgm:cxn modelId="{1269581B-AAEA-41AF-8885-D98033B42020}" type="presParOf" srcId="{B22B5C09-9100-436B-9C6F-411082B4F8C2}" destId="{AE06BB4B-262E-4478-9F4F-265D572ACAB8}" srcOrd="18" destOrd="0" presId="urn:microsoft.com/office/officeart/2005/8/layout/bProcess3"/>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181FD1E-08FA-488E-9FCC-9319D142F28E}">
      <dsp:nvSpPr>
        <dsp:cNvPr id="0" name=""/>
        <dsp:cNvSpPr/>
      </dsp:nvSpPr>
      <dsp:spPr>
        <a:xfrm>
          <a:off x="1909060" y="483391"/>
          <a:ext cx="371191" cy="91440"/>
        </a:xfrm>
        <a:custGeom>
          <a:avLst/>
          <a:gdLst/>
          <a:ahLst/>
          <a:cxnLst/>
          <a:rect l="0" t="0" r="0" b="0"/>
          <a:pathLst>
            <a:path>
              <a:moveTo>
                <a:pt x="0" y="45720"/>
              </a:moveTo>
              <a:lnTo>
                <a:pt x="371191" y="45720"/>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2084611" y="527101"/>
        <a:ext cx="20089" cy="4021"/>
      </dsp:txXfrm>
    </dsp:sp>
    <dsp:sp modelId="{EBA11BF1-986E-4536-98A8-364577EA7B9B}">
      <dsp:nvSpPr>
        <dsp:cNvPr id="0" name=""/>
        <dsp:cNvSpPr/>
      </dsp:nvSpPr>
      <dsp:spPr>
        <a:xfrm>
          <a:off x="163940" y="5035"/>
          <a:ext cx="1746920" cy="1048152"/>
        </a:xfrm>
        <a:prstGeom prst="rect">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pl-PL" sz="900" kern="1200"/>
            <a:t>Uzyskanie od Starosty właściwego, ze względu na miejsce siedziby zezwolenia na prowadzenie działalności w zakresie transportu odpadów niebezpiecznych zawierających azbest.</a:t>
          </a:r>
        </a:p>
      </dsp:txBody>
      <dsp:txXfrm>
        <a:off x="163940" y="5035"/>
        <a:ext cx="1746920" cy="1048152"/>
      </dsp:txXfrm>
    </dsp:sp>
    <dsp:sp modelId="{27F3B7D1-5BB8-40A1-A160-A2A330879F9D}">
      <dsp:nvSpPr>
        <dsp:cNvPr id="0" name=""/>
        <dsp:cNvSpPr/>
      </dsp:nvSpPr>
      <dsp:spPr>
        <a:xfrm>
          <a:off x="4057772" y="483391"/>
          <a:ext cx="371191" cy="91440"/>
        </a:xfrm>
        <a:custGeom>
          <a:avLst/>
          <a:gdLst/>
          <a:ahLst/>
          <a:cxnLst/>
          <a:rect l="0" t="0" r="0" b="0"/>
          <a:pathLst>
            <a:path>
              <a:moveTo>
                <a:pt x="0" y="45720"/>
              </a:moveTo>
              <a:lnTo>
                <a:pt x="371191" y="45720"/>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4233323" y="527101"/>
        <a:ext cx="20089" cy="4021"/>
      </dsp:txXfrm>
    </dsp:sp>
    <dsp:sp modelId="{B3E79C7E-4A29-4263-B041-931FD0C9D871}">
      <dsp:nvSpPr>
        <dsp:cNvPr id="0" name=""/>
        <dsp:cNvSpPr/>
      </dsp:nvSpPr>
      <dsp:spPr>
        <a:xfrm>
          <a:off x="2312652" y="5035"/>
          <a:ext cx="1746920" cy="1048152"/>
        </a:xfrm>
        <a:prstGeom prst="rect">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kern="1200"/>
            <a:t>Odbiór odpadów zawierających azbest od poprzedniego posiadacza.</a:t>
          </a:r>
        </a:p>
      </dsp:txBody>
      <dsp:txXfrm>
        <a:off x="2312652" y="5035"/>
        <a:ext cx="1746920" cy="1048152"/>
      </dsp:txXfrm>
    </dsp:sp>
    <dsp:sp modelId="{3919D872-B3A3-4EC0-86A5-1AAF43547F09}">
      <dsp:nvSpPr>
        <dsp:cNvPr id="0" name=""/>
        <dsp:cNvSpPr/>
      </dsp:nvSpPr>
      <dsp:spPr>
        <a:xfrm>
          <a:off x="970039" y="1051388"/>
          <a:ext cx="4364785" cy="371726"/>
        </a:xfrm>
        <a:custGeom>
          <a:avLst/>
          <a:gdLst/>
          <a:ahLst/>
          <a:cxnLst/>
          <a:rect l="0" t="0" r="0" b="0"/>
          <a:pathLst>
            <a:path>
              <a:moveTo>
                <a:pt x="4364785" y="0"/>
              </a:moveTo>
              <a:lnTo>
                <a:pt x="4364785" y="202963"/>
              </a:lnTo>
              <a:lnTo>
                <a:pt x="0" y="202963"/>
              </a:lnTo>
              <a:lnTo>
                <a:pt x="0" y="371726"/>
              </a:lnTo>
            </a:path>
          </a:pathLst>
        </a:custGeom>
        <a:noFill/>
        <a:ln w="9525" cap="flat" cmpd="sng" algn="ctr">
          <a:solidFill>
            <a:schemeClr val="accent4">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3042849" y="1235240"/>
        <a:ext cx="219164" cy="4021"/>
      </dsp:txXfrm>
    </dsp:sp>
    <dsp:sp modelId="{A7D1E759-8F10-4114-A25F-09B2988F608B}">
      <dsp:nvSpPr>
        <dsp:cNvPr id="0" name=""/>
        <dsp:cNvSpPr/>
      </dsp:nvSpPr>
      <dsp:spPr>
        <a:xfrm>
          <a:off x="4461364" y="5035"/>
          <a:ext cx="1746920" cy="1048152"/>
        </a:xfrm>
        <a:prstGeom prst="rect">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kern="1200"/>
            <a:t>Karta przekazania odpadu.</a:t>
          </a:r>
          <a:endParaRPr lang="pl-PL" sz="1050" b="0" kern="1200"/>
        </a:p>
      </dsp:txBody>
      <dsp:txXfrm>
        <a:off x="4461364" y="5035"/>
        <a:ext cx="1746920" cy="1048152"/>
      </dsp:txXfrm>
    </dsp:sp>
    <dsp:sp modelId="{FDB34492-2D1A-4520-8349-3FD5D6145923}">
      <dsp:nvSpPr>
        <dsp:cNvPr id="0" name=""/>
        <dsp:cNvSpPr/>
      </dsp:nvSpPr>
      <dsp:spPr>
        <a:xfrm>
          <a:off x="1841699" y="1933335"/>
          <a:ext cx="438552" cy="91440"/>
        </a:xfrm>
        <a:custGeom>
          <a:avLst/>
          <a:gdLst/>
          <a:ahLst/>
          <a:cxnLst/>
          <a:rect l="0" t="0" r="0" b="0"/>
          <a:pathLst>
            <a:path>
              <a:moveTo>
                <a:pt x="0" y="46254"/>
              </a:moveTo>
              <a:lnTo>
                <a:pt x="236376" y="46254"/>
              </a:lnTo>
              <a:lnTo>
                <a:pt x="236376" y="45720"/>
              </a:lnTo>
              <a:lnTo>
                <a:pt x="438552" y="45720"/>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2049246" y="1977045"/>
        <a:ext cx="23457" cy="4021"/>
      </dsp:txXfrm>
    </dsp:sp>
    <dsp:sp modelId="{4610F32A-E761-47E9-9B10-D57160F33225}">
      <dsp:nvSpPr>
        <dsp:cNvPr id="0" name=""/>
        <dsp:cNvSpPr/>
      </dsp:nvSpPr>
      <dsp:spPr>
        <a:xfrm>
          <a:off x="96578" y="1455514"/>
          <a:ext cx="1746920" cy="1048152"/>
        </a:xfrm>
        <a:prstGeom prst="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kern="1200"/>
            <a:t>Sprawdzenie prawidłowości i szczelności opakowania.</a:t>
          </a:r>
          <a:endParaRPr lang="pl-PL" sz="1050" b="0" kern="1200">
            <a:latin typeface="+mn-lt"/>
          </a:endParaRPr>
        </a:p>
      </dsp:txBody>
      <dsp:txXfrm>
        <a:off x="96578" y="1455514"/>
        <a:ext cx="1746920" cy="1048152"/>
      </dsp:txXfrm>
    </dsp:sp>
    <dsp:sp modelId="{6F9440A1-7030-493F-A639-FE0615E77D15}">
      <dsp:nvSpPr>
        <dsp:cNvPr id="0" name=""/>
        <dsp:cNvSpPr/>
      </dsp:nvSpPr>
      <dsp:spPr>
        <a:xfrm>
          <a:off x="4057772" y="1933335"/>
          <a:ext cx="371191" cy="91440"/>
        </a:xfrm>
        <a:custGeom>
          <a:avLst/>
          <a:gdLst/>
          <a:ahLst/>
          <a:cxnLst/>
          <a:rect l="0" t="0" r="0" b="0"/>
          <a:pathLst>
            <a:path>
              <a:moveTo>
                <a:pt x="0" y="45720"/>
              </a:moveTo>
              <a:lnTo>
                <a:pt x="371191" y="45720"/>
              </a:lnTo>
            </a:path>
          </a:pathLst>
        </a:custGeom>
        <a:noFill/>
        <a:ln w="9525" cap="flat" cmpd="sng" algn="ctr">
          <a:solidFill>
            <a:schemeClr val="accent6">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4233323" y="1977045"/>
        <a:ext cx="20089" cy="4021"/>
      </dsp:txXfrm>
    </dsp:sp>
    <dsp:sp modelId="{6BAA4831-CB5F-41DD-8D1A-10986123DE23}">
      <dsp:nvSpPr>
        <dsp:cNvPr id="0" name=""/>
        <dsp:cNvSpPr/>
      </dsp:nvSpPr>
      <dsp:spPr>
        <a:xfrm>
          <a:off x="2312652" y="1454979"/>
          <a:ext cx="1746920" cy="1048152"/>
        </a:xfrm>
        <a:prstGeom prst="rect">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kern="1200"/>
            <a:t>Przygotowanie pojazdu do przewozu odpadów niebezpiecznych</a:t>
          </a:r>
          <a:r>
            <a:rPr lang="pl-PL" sz="1050" b="0" kern="1200"/>
            <a:t>.</a:t>
          </a:r>
        </a:p>
      </dsp:txBody>
      <dsp:txXfrm>
        <a:off x="2312652" y="1454979"/>
        <a:ext cx="1746920" cy="1048152"/>
      </dsp:txXfrm>
    </dsp:sp>
    <dsp:sp modelId="{725237AA-0124-4536-8D7B-52FBB1F5BC7A}">
      <dsp:nvSpPr>
        <dsp:cNvPr id="0" name=""/>
        <dsp:cNvSpPr/>
      </dsp:nvSpPr>
      <dsp:spPr>
        <a:xfrm>
          <a:off x="1037400" y="2501332"/>
          <a:ext cx="4297424" cy="371191"/>
        </a:xfrm>
        <a:custGeom>
          <a:avLst/>
          <a:gdLst/>
          <a:ahLst/>
          <a:cxnLst/>
          <a:rect l="0" t="0" r="0" b="0"/>
          <a:pathLst>
            <a:path>
              <a:moveTo>
                <a:pt x="4297424" y="0"/>
              </a:moveTo>
              <a:lnTo>
                <a:pt x="4297424" y="202695"/>
              </a:lnTo>
              <a:lnTo>
                <a:pt x="0" y="202695"/>
              </a:lnTo>
              <a:lnTo>
                <a:pt x="0" y="371191"/>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3078208" y="2684917"/>
        <a:ext cx="215808" cy="4021"/>
      </dsp:txXfrm>
    </dsp:sp>
    <dsp:sp modelId="{E81F043A-D6B4-4185-8C33-AF5DDDB9B3FF}">
      <dsp:nvSpPr>
        <dsp:cNvPr id="0" name=""/>
        <dsp:cNvSpPr/>
      </dsp:nvSpPr>
      <dsp:spPr>
        <a:xfrm>
          <a:off x="4461364" y="1454979"/>
          <a:ext cx="1746920" cy="1048152"/>
        </a:xfrm>
        <a:prstGeom prst="rect">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kern="1200"/>
            <a:t>Czyszczenie skrzyni pojazdu, wyłożenie odpowiednią folią.</a:t>
          </a:r>
          <a:endParaRPr lang="pl-PL" sz="1050" b="0" kern="1200"/>
        </a:p>
      </dsp:txBody>
      <dsp:txXfrm>
        <a:off x="4461364" y="1454979"/>
        <a:ext cx="1746920" cy="1048152"/>
      </dsp:txXfrm>
    </dsp:sp>
    <dsp:sp modelId="{C0D17A1F-9EAB-4D12-817B-73219D8FDE16}">
      <dsp:nvSpPr>
        <dsp:cNvPr id="0" name=""/>
        <dsp:cNvSpPr/>
      </dsp:nvSpPr>
      <dsp:spPr>
        <a:xfrm>
          <a:off x="1909060" y="3382944"/>
          <a:ext cx="388101" cy="91440"/>
        </a:xfrm>
        <a:custGeom>
          <a:avLst/>
          <a:gdLst/>
          <a:ahLst/>
          <a:cxnLst/>
          <a:rect l="0" t="0" r="0" b="0"/>
          <a:pathLst>
            <a:path>
              <a:moveTo>
                <a:pt x="0" y="46055"/>
              </a:moveTo>
              <a:lnTo>
                <a:pt x="211150" y="46055"/>
              </a:lnTo>
              <a:lnTo>
                <a:pt x="211150" y="45720"/>
              </a:lnTo>
              <a:lnTo>
                <a:pt x="388101" y="45720"/>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2092643" y="3426653"/>
        <a:ext cx="20935" cy="4021"/>
      </dsp:txXfrm>
    </dsp:sp>
    <dsp:sp modelId="{F54D4DB2-3349-4F00-8B15-6591602A5E9C}">
      <dsp:nvSpPr>
        <dsp:cNvPr id="0" name=""/>
        <dsp:cNvSpPr/>
      </dsp:nvSpPr>
      <dsp:spPr>
        <a:xfrm>
          <a:off x="163940" y="2904923"/>
          <a:ext cx="1746920" cy="1048152"/>
        </a:xfrm>
        <a:prstGeom prst="rect">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kern="1200"/>
            <a:t>Przygotowanie dokumentów.</a:t>
          </a:r>
          <a:endParaRPr lang="pl-PL" sz="1050" b="0" kern="1200"/>
        </a:p>
      </dsp:txBody>
      <dsp:txXfrm>
        <a:off x="163940" y="2904923"/>
        <a:ext cx="1746920" cy="1048152"/>
      </dsp:txXfrm>
    </dsp:sp>
    <dsp:sp modelId="{67754DB0-79EE-4FD0-AFF3-EC4D2F9BFDEA}">
      <dsp:nvSpPr>
        <dsp:cNvPr id="0" name=""/>
        <dsp:cNvSpPr/>
      </dsp:nvSpPr>
      <dsp:spPr>
        <a:xfrm>
          <a:off x="4074682" y="3382944"/>
          <a:ext cx="452318" cy="91440"/>
        </a:xfrm>
        <a:custGeom>
          <a:avLst/>
          <a:gdLst/>
          <a:ahLst/>
          <a:cxnLst/>
          <a:rect l="0" t="0" r="0" b="0"/>
          <a:pathLst>
            <a:path>
              <a:moveTo>
                <a:pt x="0" y="45720"/>
              </a:moveTo>
              <a:lnTo>
                <a:pt x="243259" y="45720"/>
              </a:lnTo>
              <a:lnTo>
                <a:pt x="243259" y="46390"/>
              </a:lnTo>
              <a:lnTo>
                <a:pt x="452318" y="46390"/>
              </a:lnTo>
            </a:path>
          </a:pathLst>
        </a:custGeom>
        <a:noFill/>
        <a:ln w="9525" cap="flat" cmpd="sng" algn="ctr">
          <a:solidFill>
            <a:schemeClr val="accent4">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4288769" y="3426653"/>
        <a:ext cx="24145" cy="4021"/>
      </dsp:txXfrm>
    </dsp:sp>
    <dsp:sp modelId="{88DE9C6C-6D49-43CF-8385-A41F6FA671BB}">
      <dsp:nvSpPr>
        <dsp:cNvPr id="0" name=""/>
        <dsp:cNvSpPr/>
      </dsp:nvSpPr>
      <dsp:spPr>
        <a:xfrm>
          <a:off x="2329562" y="2904588"/>
          <a:ext cx="1746920" cy="1048152"/>
        </a:xfrm>
        <a:prstGeom prst="rect">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kern="1200"/>
            <a:t>Dowód rejestracyjny pojazdu.</a:t>
          </a:r>
        </a:p>
      </dsp:txBody>
      <dsp:txXfrm>
        <a:off x="2329562" y="2904588"/>
        <a:ext cx="1746920" cy="1048152"/>
      </dsp:txXfrm>
    </dsp:sp>
    <dsp:sp modelId="{3DC71C58-DDCE-4D62-A700-3BFE79F0DC82}">
      <dsp:nvSpPr>
        <dsp:cNvPr id="0" name=""/>
        <dsp:cNvSpPr/>
      </dsp:nvSpPr>
      <dsp:spPr>
        <a:xfrm>
          <a:off x="1037400" y="3951611"/>
          <a:ext cx="4395461" cy="370856"/>
        </a:xfrm>
        <a:custGeom>
          <a:avLst/>
          <a:gdLst/>
          <a:ahLst/>
          <a:cxnLst/>
          <a:rect l="0" t="0" r="0" b="0"/>
          <a:pathLst>
            <a:path>
              <a:moveTo>
                <a:pt x="4395461" y="0"/>
              </a:moveTo>
              <a:lnTo>
                <a:pt x="4395461" y="202528"/>
              </a:lnTo>
              <a:lnTo>
                <a:pt x="0" y="202528"/>
              </a:lnTo>
              <a:lnTo>
                <a:pt x="0" y="370856"/>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3124787" y="4135028"/>
        <a:ext cx="220687" cy="4021"/>
      </dsp:txXfrm>
    </dsp:sp>
    <dsp:sp modelId="{8742F127-F384-4D8B-96AE-61E306EE3B88}">
      <dsp:nvSpPr>
        <dsp:cNvPr id="0" name=""/>
        <dsp:cNvSpPr/>
      </dsp:nvSpPr>
      <dsp:spPr>
        <a:xfrm>
          <a:off x="4559401" y="2905259"/>
          <a:ext cx="1746920" cy="1048152"/>
        </a:xfrm>
        <a:prstGeom prst="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kern="1200"/>
            <a:t>Dokument przewozowy z opisem przewożonych towarów niebezpiecznych.</a:t>
          </a:r>
          <a:endParaRPr lang="pl-PL" sz="1050" b="0" kern="1200"/>
        </a:p>
      </dsp:txBody>
      <dsp:txXfrm>
        <a:off x="4559401" y="2905259"/>
        <a:ext cx="1746920" cy="1048152"/>
      </dsp:txXfrm>
    </dsp:sp>
    <dsp:sp modelId="{7DE1EED2-803A-4C9D-8EC1-5BB8738BFF1F}">
      <dsp:nvSpPr>
        <dsp:cNvPr id="0" name=""/>
        <dsp:cNvSpPr/>
      </dsp:nvSpPr>
      <dsp:spPr>
        <a:xfrm>
          <a:off x="1909060" y="4833224"/>
          <a:ext cx="371191" cy="91440"/>
        </a:xfrm>
        <a:custGeom>
          <a:avLst/>
          <a:gdLst/>
          <a:ahLst/>
          <a:cxnLst/>
          <a:rect l="0" t="0" r="0" b="0"/>
          <a:pathLst>
            <a:path>
              <a:moveTo>
                <a:pt x="0" y="45720"/>
              </a:moveTo>
              <a:lnTo>
                <a:pt x="371191" y="45720"/>
              </a:lnTo>
            </a:path>
          </a:pathLst>
        </a:custGeom>
        <a:noFill/>
        <a:ln w="9525" cap="flat" cmpd="sng" algn="ctr">
          <a:solidFill>
            <a:schemeClr val="accent6">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2084611" y="4876933"/>
        <a:ext cx="20089" cy="4021"/>
      </dsp:txXfrm>
    </dsp:sp>
    <dsp:sp modelId="{AE06BB4B-262E-4478-9F4F-265D572ACAB8}">
      <dsp:nvSpPr>
        <dsp:cNvPr id="0" name=""/>
        <dsp:cNvSpPr/>
      </dsp:nvSpPr>
      <dsp:spPr>
        <a:xfrm>
          <a:off x="163940" y="4354867"/>
          <a:ext cx="1746920" cy="1048152"/>
        </a:xfrm>
        <a:prstGeom prst="rect">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kern="1200"/>
            <a:t>Świadectwo dopuszczenia pojazdu do przewozu drogowego towarów niebezpiecznych.</a:t>
          </a:r>
          <a:endParaRPr lang="pl-PL" sz="1050" b="0" kern="1200"/>
        </a:p>
      </dsp:txBody>
      <dsp:txXfrm>
        <a:off x="163940" y="4354867"/>
        <a:ext cx="1746920" cy="1048152"/>
      </dsp:txXfrm>
    </dsp:sp>
    <dsp:sp modelId="{DEEA96C7-D5D2-4AF2-BE0E-0071DE094348}">
      <dsp:nvSpPr>
        <dsp:cNvPr id="0" name=""/>
        <dsp:cNvSpPr/>
      </dsp:nvSpPr>
      <dsp:spPr>
        <a:xfrm>
          <a:off x="4057772" y="4833224"/>
          <a:ext cx="371191" cy="91440"/>
        </a:xfrm>
        <a:custGeom>
          <a:avLst/>
          <a:gdLst/>
          <a:ahLst/>
          <a:cxnLst/>
          <a:rect l="0" t="0" r="0" b="0"/>
          <a:pathLst>
            <a:path>
              <a:moveTo>
                <a:pt x="0" y="45720"/>
              </a:moveTo>
              <a:lnTo>
                <a:pt x="371191" y="45720"/>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4233323" y="4876933"/>
        <a:ext cx="20089" cy="4021"/>
      </dsp:txXfrm>
    </dsp:sp>
    <dsp:sp modelId="{53D6FCC5-1EBA-4B0B-9978-A1F34E5F0BC7}">
      <dsp:nvSpPr>
        <dsp:cNvPr id="0" name=""/>
        <dsp:cNvSpPr/>
      </dsp:nvSpPr>
      <dsp:spPr>
        <a:xfrm>
          <a:off x="2312652" y="4354867"/>
          <a:ext cx="1746920" cy="1048152"/>
        </a:xfrm>
        <a:prstGeom prst="rect">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pl-PL" sz="1000" kern="1200"/>
            <a:t>Zaświadczenie ADR z przeszkolenia kierowców pojazdów przewożących towary niebezpieczne.</a:t>
          </a:r>
          <a:endParaRPr lang="pl-PL" sz="1000" b="0" kern="1200"/>
        </a:p>
      </dsp:txBody>
      <dsp:txXfrm>
        <a:off x="2312652" y="4354867"/>
        <a:ext cx="1746920" cy="1048152"/>
      </dsp:txXfrm>
    </dsp:sp>
    <dsp:sp modelId="{23F3F93D-FDEC-4BEE-A81F-DB4688EB39B6}">
      <dsp:nvSpPr>
        <dsp:cNvPr id="0" name=""/>
        <dsp:cNvSpPr/>
      </dsp:nvSpPr>
      <dsp:spPr>
        <a:xfrm>
          <a:off x="1037400" y="5401220"/>
          <a:ext cx="4297424" cy="371191"/>
        </a:xfrm>
        <a:custGeom>
          <a:avLst/>
          <a:gdLst/>
          <a:ahLst/>
          <a:cxnLst/>
          <a:rect l="0" t="0" r="0" b="0"/>
          <a:pathLst>
            <a:path>
              <a:moveTo>
                <a:pt x="4297424" y="0"/>
              </a:moveTo>
              <a:lnTo>
                <a:pt x="4297424" y="202695"/>
              </a:lnTo>
              <a:lnTo>
                <a:pt x="0" y="202695"/>
              </a:lnTo>
              <a:lnTo>
                <a:pt x="0" y="371191"/>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3078208" y="5584805"/>
        <a:ext cx="215808" cy="4021"/>
      </dsp:txXfrm>
    </dsp:sp>
    <dsp:sp modelId="{4FB74FB8-160D-4046-9DD4-573967C5FF29}">
      <dsp:nvSpPr>
        <dsp:cNvPr id="0" name=""/>
        <dsp:cNvSpPr/>
      </dsp:nvSpPr>
      <dsp:spPr>
        <a:xfrm>
          <a:off x="4461364" y="4354867"/>
          <a:ext cx="1746920" cy="1048152"/>
        </a:xfrm>
        <a:prstGeom prst="rect">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pl-PL" sz="1000" kern="1200"/>
            <a:t>Załadunek odpadów w pakietach foliowych</a:t>
          </a:r>
          <a:r>
            <a:rPr lang="pl-PL" sz="1600" kern="1200"/>
            <a:t>.</a:t>
          </a:r>
        </a:p>
      </dsp:txBody>
      <dsp:txXfrm>
        <a:off x="4461364" y="4354867"/>
        <a:ext cx="1746920" cy="1048152"/>
      </dsp:txXfrm>
    </dsp:sp>
    <dsp:sp modelId="{8DA9B9A4-483E-44B7-86B1-231456F4D7F2}">
      <dsp:nvSpPr>
        <dsp:cNvPr id="0" name=""/>
        <dsp:cNvSpPr/>
      </dsp:nvSpPr>
      <dsp:spPr>
        <a:xfrm>
          <a:off x="1909060" y="6283168"/>
          <a:ext cx="371191" cy="91440"/>
        </a:xfrm>
        <a:custGeom>
          <a:avLst/>
          <a:gdLst/>
          <a:ahLst/>
          <a:cxnLst/>
          <a:rect l="0" t="0" r="0" b="0"/>
          <a:pathLst>
            <a:path>
              <a:moveTo>
                <a:pt x="0" y="45720"/>
              </a:moveTo>
              <a:lnTo>
                <a:pt x="371191" y="45720"/>
              </a:lnTo>
            </a:path>
          </a:pathLst>
        </a:custGeom>
        <a:noFill/>
        <a:ln w="9525" cap="flat" cmpd="sng" algn="ctr">
          <a:solidFill>
            <a:schemeClr val="accent4">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2084611" y="6326877"/>
        <a:ext cx="20089" cy="4021"/>
      </dsp:txXfrm>
    </dsp:sp>
    <dsp:sp modelId="{40A436CD-C5E3-40CA-A410-AE3DBABDFEA2}">
      <dsp:nvSpPr>
        <dsp:cNvPr id="0" name=""/>
        <dsp:cNvSpPr/>
      </dsp:nvSpPr>
      <dsp:spPr>
        <a:xfrm>
          <a:off x="163940" y="5804811"/>
          <a:ext cx="1746920" cy="1048152"/>
        </a:xfrm>
        <a:prstGeom prst="rect">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pl-PL" sz="1000" kern="1200"/>
            <a:t>Zabezpieczenia ładunku przed przesuwaniem.</a:t>
          </a:r>
        </a:p>
      </dsp:txBody>
      <dsp:txXfrm>
        <a:off x="163940" y="5804811"/>
        <a:ext cx="1746920" cy="1048152"/>
      </dsp:txXfrm>
    </dsp:sp>
    <dsp:sp modelId="{97668DD9-ABFF-464F-9B7B-38A38274301B}">
      <dsp:nvSpPr>
        <dsp:cNvPr id="0" name=""/>
        <dsp:cNvSpPr/>
      </dsp:nvSpPr>
      <dsp:spPr>
        <a:xfrm>
          <a:off x="4057772" y="6283168"/>
          <a:ext cx="371191" cy="91440"/>
        </a:xfrm>
        <a:custGeom>
          <a:avLst/>
          <a:gdLst/>
          <a:ahLst/>
          <a:cxnLst/>
          <a:rect l="0" t="0" r="0" b="0"/>
          <a:pathLst>
            <a:path>
              <a:moveTo>
                <a:pt x="0" y="45720"/>
              </a:moveTo>
              <a:lnTo>
                <a:pt x="371191" y="45720"/>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4233323" y="6326877"/>
        <a:ext cx="20089" cy="4021"/>
      </dsp:txXfrm>
    </dsp:sp>
    <dsp:sp modelId="{6A022D4C-F62B-49DE-9442-9E9C89E8847D}">
      <dsp:nvSpPr>
        <dsp:cNvPr id="0" name=""/>
        <dsp:cNvSpPr/>
      </dsp:nvSpPr>
      <dsp:spPr>
        <a:xfrm>
          <a:off x="2312652" y="5804811"/>
          <a:ext cx="1746920" cy="1048152"/>
        </a:xfrm>
        <a:prstGeom prst="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pl-PL" sz="1000" kern="1200">
              <a:latin typeface="+mn-lt"/>
            </a:rPr>
            <a:t>Oznakowanie pojazdu zgodnie z umową ADR.</a:t>
          </a:r>
        </a:p>
      </dsp:txBody>
      <dsp:txXfrm>
        <a:off x="2312652" y="5804811"/>
        <a:ext cx="1746920" cy="1048152"/>
      </dsp:txXfrm>
    </dsp:sp>
    <dsp:sp modelId="{3240B93A-13C0-4FF8-A976-28EC61E0D108}">
      <dsp:nvSpPr>
        <dsp:cNvPr id="0" name=""/>
        <dsp:cNvSpPr/>
      </dsp:nvSpPr>
      <dsp:spPr>
        <a:xfrm>
          <a:off x="4461364" y="5804811"/>
          <a:ext cx="1746920" cy="1048152"/>
        </a:xfrm>
        <a:prstGeom prst="rect">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pl-PL" sz="900" kern="1200"/>
            <a:t>Transport odpadów na składowisko przeznaczone do składowania odpadów, zawierających azbest.</a:t>
          </a:r>
        </a:p>
        <a:p>
          <a:pPr marL="0" lvl="0" indent="0" algn="ctr" defTabSz="400050">
            <a:lnSpc>
              <a:spcPct val="90000"/>
            </a:lnSpc>
            <a:spcBef>
              <a:spcPct val="0"/>
            </a:spcBef>
            <a:spcAft>
              <a:spcPct val="35000"/>
            </a:spcAft>
            <a:buNone/>
          </a:pPr>
          <a:r>
            <a:rPr lang="pl-PL" sz="900" kern="1200"/>
            <a:t>Przekazanie odpadów na składowisko odpadów - Karta przekazania odpadu.</a:t>
          </a:r>
        </a:p>
      </dsp:txBody>
      <dsp:txXfrm>
        <a:off x="4461364" y="5804811"/>
        <a:ext cx="1746920" cy="1048152"/>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181FD1E-08FA-488E-9FCC-9319D142F28E}">
      <dsp:nvSpPr>
        <dsp:cNvPr id="0" name=""/>
        <dsp:cNvSpPr/>
      </dsp:nvSpPr>
      <dsp:spPr>
        <a:xfrm>
          <a:off x="1744154" y="652072"/>
          <a:ext cx="369230" cy="91440"/>
        </a:xfrm>
        <a:custGeom>
          <a:avLst/>
          <a:gdLst/>
          <a:ahLst/>
          <a:cxnLst/>
          <a:rect l="0" t="0" r="0" b="0"/>
          <a:pathLst>
            <a:path>
              <a:moveTo>
                <a:pt x="0" y="45720"/>
              </a:moveTo>
              <a:lnTo>
                <a:pt x="369230" y="45720"/>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1918773" y="695791"/>
        <a:ext cx="19991" cy="4002"/>
      </dsp:txXfrm>
    </dsp:sp>
    <dsp:sp modelId="{EBA11BF1-986E-4536-98A8-364577EA7B9B}">
      <dsp:nvSpPr>
        <dsp:cNvPr id="0" name=""/>
        <dsp:cNvSpPr/>
      </dsp:nvSpPr>
      <dsp:spPr>
        <a:xfrm>
          <a:off x="7562" y="176274"/>
          <a:ext cx="1738391" cy="1043035"/>
        </a:xfrm>
        <a:prstGeom prst="rect">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b="1" kern="1200"/>
            <a:t>Przyjęcie partii odpadów niebezpiecznych zawierających azbest na składowisko.</a:t>
          </a:r>
          <a:endParaRPr lang="pl-PL" sz="1050" kern="1200"/>
        </a:p>
      </dsp:txBody>
      <dsp:txXfrm>
        <a:off x="7562" y="176274"/>
        <a:ext cx="1738391" cy="1043035"/>
      </dsp:txXfrm>
    </dsp:sp>
    <dsp:sp modelId="{27F3B7D1-5BB8-40A1-A160-A2A330879F9D}">
      <dsp:nvSpPr>
        <dsp:cNvPr id="0" name=""/>
        <dsp:cNvSpPr/>
      </dsp:nvSpPr>
      <dsp:spPr>
        <a:xfrm>
          <a:off x="3882375" y="652072"/>
          <a:ext cx="369230" cy="91440"/>
        </a:xfrm>
        <a:custGeom>
          <a:avLst/>
          <a:gdLst/>
          <a:ahLst/>
          <a:cxnLst/>
          <a:rect l="0" t="0" r="0" b="0"/>
          <a:pathLst>
            <a:path>
              <a:moveTo>
                <a:pt x="0" y="45720"/>
              </a:moveTo>
              <a:lnTo>
                <a:pt x="369230" y="45720"/>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4056995" y="695791"/>
        <a:ext cx="19991" cy="4002"/>
      </dsp:txXfrm>
    </dsp:sp>
    <dsp:sp modelId="{B3E79C7E-4A29-4263-B041-931FD0C9D871}">
      <dsp:nvSpPr>
        <dsp:cNvPr id="0" name=""/>
        <dsp:cNvSpPr/>
      </dsp:nvSpPr>
      <dsp:spPr>
        <a:xfrm>
          <a:off x="2145784" y="176274"/>
          <a:ext cx="1738391" cy="1043035"/>
        </a:xfrm>
        <a:prstGeom prst="rect">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b="1" kern="1200"/>
            <a:t>Pobieranie opłaty za korzystanie ze środowiska- odprowadzenie opłaty na rachunek właściwego urzędu marszałkowskiego.</a:t>
          </a:r>
          <a:endParaRPr lang="pl-PL" sz="1050" kern="1200"/>
        </a:p>
      </dsp:txBody>
      <dsp:txXfrm>
        <a:off x="2145784" y="176274"/>
        <a:ext cx="1738391" cy="1043035"/>
      </dsp:txXfrm>
    </dsp:sp>
    <dsp:sp modelId="{3919D872-B3A3-4EC0-86A5-1AAF43547F09}">
      <dsp:nvSpPr>
        <dsp:cNvPr id="0" name=""/>
        <dsp:cNvSpPr/>
      </dsp:nvSpPr>
      <dsp:spPr>
        <a:xfrm>
          <a:off x="869195" y="1217509"/>
          <a:ext cx="4284005" cy="369762"/>
        </a:xfrm>
        <a:custGeom>
          <a:avLst/>
          <a:gdLst/>
          <a:ahLst/>
          <a:cxnLst/>
          <a:rect l="0" t="0" r="0" b="0"/>
          <a:pathLst>
            <a:path>
              <a:moveTo>
                <a:pt x="4284005" y="0"/>
              </a:moveTo>
              <a:lnTo>
                <a:pt x="4284005" y="201981"/>
              </a:lnTo>
              <a:lnTo>
                <a:pt x="0" y="201981"/>
              </a:lnTo>
              <a:lnTo>
                <a:pt x="0" y="369762"/>
              </a:lnTo>
            </a:path>
          </a:pathLst>
        </a:custGeom>
        <a:noFill/>
        <a:ln w="9525" cap="flat" cmpd="sng" algn="ctr">
          <a:solidFill>
            <a:schemeClr val="accent4">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2903631" y="1400389"/>
        <a:ext cx="215133" cy="4002"/>
      </dsp:txXfrm>
    </dsp:sp>
    <dsp:sp modelId="{A7D1E759-8F10-4114-A25F-09B2988F608B}">
      <dsp:nvSpPr>
        <dsp:cNvPr id="0" name=""/>
        <dsp:cNvSpPr/>
      </dsp:nvSpPr>
      <dsp:spPr>
        <a:xfrm>
          <a:off x="4284005" y="176274"/>
          <a:ext cx="1738391" cy="1043035"/>
        </a:xfrm>
        <a:prstGeom prst="rect">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b="1" kern="1200"/>
            <a:t>Potwierdzenie odbioru na „Karcie przekazania odpadu”.</a:t>
          </a:r>
          <a:endParaRPr lang="pl-PL" sz="1050" b="0" kern="1200"/>
        </a:p>
      </dsp:txBody>
      <dsp:txXfrm>
        <a:off x="4284005" y="176274"/>
        <a:ext cx="1738391" cy="1043035"/>
      </dsp:txXfrm>
    </dsp:sp>
    <dsp:sp modelId="{FDB34492-2D1A-4520-8349-3FD5D6145923}">
      <dsp:nvSpPr>
        <dsp:cNvPr id="0" name=""/>
        <dsp:cNvSpPr/>
      </dsp:nvSpPr>
      <dsp:spPr>
        <a:xfrm>
          <a:off x="1736591" y="2094937"/>
          <a:ext cx="376792" cy="91440"/>
        </a:xfrm>
        <a:custGeom>
          <a:avLst/>
          <a:gdLst/>
          <a:ahLst/>
          <a:cxnLst/>
          <a:rect l="0" t="0" r="0" b="0"/>
          <a:pathLst>
            <a:path>
              <a:moveTo>
                <a:pt x="0" y="46251"/>
              </a:moveTo>
              <a:lnTo>
                <a:pt x="205496" y="46251"/>
              </a:lnTo>
              <a:lnTo>
                <a:pt x="205496" y="45720"/>
              </a:lnTo>
              <a:lnTo>
                <a:pt x="376792" y="45720"/>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1914803" y="2138656"/>
        <a:ext cx="20369" cy="4002"/>
      </dsp:txXfrm>
    </dsp:sp>
    <dsp:sp modelId="{4610F32A-E761-47E9-9B10-D57160F33225}">
      <dsp:nvSpPr>
        <dsp:cNvPr id="0" name=""/>
        <dsp:cNvSpPr/>
      </dsp:nvSpPr>
      <dsp:spPr>
        <a:xfrm>
          <a:off x="0" y="1619671"/>
          <a:ext cx="1738391" cy="1043035"/>
        </a:xfrm>
        <a:prstGeom prst="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b="1" kern="1200"/>
            <a:t>Składowanie odpadów zgodnie z przepisami dotyczącymi odpadów niebezpiecznych zawierających azbest oraz zatwierdzoną instrukcją eksploatacji </a:t>
          </a:r>
          <a:endParaRPr lang="pl-PL" sz="1050" b="0" kern="1200">
            <a:latin typeface="+mn-lt"/>
          </a:endParaRPr>
        </a:p>
      </dsp:txBody>
      <dsp:txXfrm>
        <a:off x="0" y="1619671"/>
        <a:ext cx="1738391" cy="1043035"/>
      </dsp:txXfrm>
    </dsp:sp>
    <dsp:sp modelId="{6F9440A1-7030-493F-A639-FE0615E77D15}">
      <dsp:nvSpPr>
        <dsp:cNvPr id="0" name=""/>
        <dsp:cNvSpPr/>
      </dsp:nvSpPr>
      <dsp:spPr>
        <a:xfrm>
          <a:off x="3882375" y="2094937"/>
          <a:ext cx="369230" cy="91440"/>
        </a:xfrm>
        <a:custGeom>
          <a:avLst/>
          <a:gdLst/>
          <a:ahLst/>
          <a:cxnLst/>
          <a:rect l="0" t="0" r="0" b="0"/>
          <a:pathLst>
            <a:path>
              <a:moveTo>
                <a:pt x="0" y="45720"/>
              </a:moveTo>
              <a:lnTo>
                <a:pt x="369230" y="45720"/>
              </a:lnTo>
            </a:path>
          </a:pathLst>
        </a:custGeom>
        <a:noFill/>
        <a:ln w="9525" cap="flat" cmpd="sng" algn="ctr">
          <a:solidFill>
            <a:schemeClr val="accent6">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4056995" y="2138656"/>
        <a:ext cx="19991" cy="4002"/>
      </dsp:txXfrm>
    </dsp:sp>
    <dsp:sp modelId="{6BAA4831-CB5F-41DD-8D1A-10986123DE23}">
      <dsp:nvSpPr>
        <dsp:cNvPr id="0" name=""/>
        <dsp:cNvSpPr/>
      </dsp:nvSpPr>
      <dsp:spPr>
        <a:xfrm>
          <a:off x="2145784" y="1619140"/>
          <a:ext cx="1738391" cy="1043035"/>
        </a:xfrm>
        <a:prstGeom prst="rect">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b="1" kern="1200"/>
            <a:t>Przeszkolenie pracowników                       w zakresie bezpiecznych metod postępowania z odpadami zawierającymi azbest.</a:t>
          </a:r>
          <a:endParaRPr lang="pl-PL" sz="1050" b="0" kern="1200"/>
        </a:p>
      </dsp:txBody>
      <dsp:txXfrm>
        <a:off x="2145784" y="1619140"/>
        <a:ext cx="1738391" cy="1043035"/>
      </dsp:txXfrm>
    </dsp:sp>
    <dsp:sp modelId="{E81F043A-D6B4-4185-8C33-AF5DDDB9B3FF}">
      <dsp:nvSpPr>
        <dsp:cNvPr id="0" name=""/>
        <dsp:cNvSpPr/>
      </dsp:nvSpPr>
      <dsp:spPr>
        <a:xfrm>
          <a:off x="4284005" y="1619140"/>
          <a:ext cx="1738391" cy="1043035"/>
        </a:xfrm>
        <a:prstGeom prst="rect">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b="1" kern="1200"/>
            <a:t>Sporządzenie zbiorczego zestawienia danych o rodzaju i ilości odpadów.</a:t>
          </a:r>
          <a:endParaRPr lang="pl-PL" sz="1050" b="0" kern="1200"/>
        </a:p>
      </dsp:txBody>
      <dsp:txXfrm>
        <a:off x="4284005" y="1619140"/>
        <a:ext cx="1738391" cy="104303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99AF865-FA7A-4A51-AD51-BF36C36B072D}">
      <dsp:nvSpPr>
        <dsp:cNvPr id="0" name=""/>
        <dsp:cNvSpPr/>
      </dsp:nvSpPr>
      <dsp:spPr>
        <a:xfrm>
          <a:off x="0" y="117885"/>
          <a:ext cx="5648325" cy="815850"/>
        </a:xfrm>
        <a:prstGeom prst="rect">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38373" tIns="145796" rIns="438373" bIns="78232" numCol="1" spcCol="1270" anchor="t" anchorCtr="0">
          <a:noAutofit/>
        </a:bodyPr>
        <a:lstStyle/>
        <a:p>
          <a:pPr marL="57150" lvl="1" indent="-57150" algn="just" defTabSz="488950">
            <a:lnSpc>
              <a:spcPct val="90000"/>
            </a:lnSpc>
            <a:spcBef>
              <a:spcPct val="0"/>
            </a:spcBef>
            <a:spcAft>
              <a:spcPct val="15000"/>
            </a:spcAft>
            <a:buChar char="•"/>
          </a:pPr>
          <a:r>
            <a:rPr lang="pl-PL" sz="1100" b="1" i="1" kern="1200">
              <a:latin typeface="Arial" pitchFamily="34" charset="0"/>
              <a:cs typeface="Arial" pitchFamily="34" charset="0"/>
            </a:rPr>
            <a:t>Wstęp. </a:t>
          </a:r>
          <a:r>
            <a:rPr lang="pl-PL" sz="1100" kern="1200">
              <a:latin typeface="Arial" pitchFamily="34" charset="0"/>
              <a:cs typeface="Arial" pitchFamily="34" charset="0"/>
            </a:rPr>
            <a:t>W rozdziale ujęto informacje ogólne nt. obowiązków przypisanych gminie wynikających z realizacji krajowego "Programu..."; charakterystykę gminy, nadrzędny długoterminowy cel i zadania "Programu..." oraz koncepcję zarządzania  "Programem...".</a:t>
          </a:r>
        </a:p>
      </dsp:txBody>
      <dsp:txXfrm>
        <a:off x="0" y="117885"/>
        <a:ext cx="5648325" cy="815850"/>
      </dsp:txXfrm>
    </dsp:sp>
    <dsp:sp modelId="{817FF6E8-B307-4DC6-B3F1-FAE2B6A3423C}">
      <dsp:nvSpPr>
        <dsp:cNvPr id="0" name=""/>
        <dsp:cNvSpPr/>
      </dsp:nvSpPr>
      <dsp:spPr>
        <a:xfrm>
          <a:off x="282416" y="14565"/>
          <a:ext cx="3953827" cy="206640"/>
        </a:xfrm>
        <a:prstGeom prst="roundRect">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49445" tIns="0" rIns="149445" bIns="0" numCol="1" spcCol="1270" anchor="ctr" anchorCtr="0">
          <a:noAutofit/>
        </a:bodyPr>
        <a:lstStyle/>
        <a:p>
          <a:pPr marL="0" lvl="0" indent="0" algn="l" defTabSz="533400">
            <a:lnSpc>
              <a:spcPct val="90000"/>
            </a:lnSpc>
            <a:spcBef>
              <a:spcPct val="0"/>
            </a:spcBef>
            <a:spcAft>
              <a:spcPct val="35000"/>
            </a:spcAft>
            <a:buNone/>
          </a:pPr>
          <a:r>
            <a:rPr lang="pl-PL" sz="1200" b="1" kern="1200">
              <a:latin typeface="Arial" pitchFamily="34" charset="0"/>
              <a:cs typeface="Arial" pitchFamily="34" charset="0"/>
            </a:rPr>
            <a:t>Rozdział 1.</a:t>
          </a:r>
        </a:p>
      </dsp:txBody>
      <dsp:txXfrm>
        <a:off x="292503" y="24652"/>
        <a:ext cx="3933653" cy="186466"/>
      </dsp:txXfrm>
    </dsp:sp>
    <dsp:sp modelId="{1A082EF2-2DEA-48BC-B083-DF83C4B041F1}">
      <dsp:nvSpPr>
        <dsp:cNvPr id="0" name=""/>
        <dsp:cNvSpPr/>
      </dsp:nvSpPr>
      <dsp:spPr>
        <a:xfrm>
          <a:off x="0" y="1074855"/>
          <a:ext cx="5648325" cy="1102500"/>
        </a:xfrm>
        <a:prstGeom prst="rect">
          <a:avLst/>
        </a:prstGeom>
        <a:solidFill>
          <a:schemeClr val="lt1">
            <a:alpha val="90000"/>
            <a:hueOff val="0"/>
            <a:satOff val="0"/>
            <a:lumOff val="0"/>
            <a:alphaOff val="0"/>
          </a:schemeClr>
        </a:solidFill>
        <a:ln w="9525" cap="flat" cmpd="sng" algn="ctr">
          <a:solidFill>
            <a:schemeClr val="accent3">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38373" tIns="145796" rIns="438373" bIns="78232" numCol="1" spcCol="1270" anchor="t" anchorCtr="0">
          <a:noAutofit/>
        </a:bodyPr>
        <a:lstStyle/>
        <a:p>
          <a:pPr marL="57150" lvl="1" indent="-57150" algn="just" defTabSz="488950">
            <a:lnSpc>
              <a:spcPct val="90000"/>
            </a:lnSpc>
            <a:spcBef>
              <a:spcPct val="0"/>
            </a:spcBef>
            <a:spcAft>
              <a:spcPct val="15000"/>
            </a:spcAft>
            <a:buChar char="•"/>
          </a:pPr>
          <a:r>
            <a:rPr lang="pl-PL" sz="1100" b="1" i="1" kern="1200">
              <a:latin typeface="Arial" pitchFamily="34" charset="0"/>
              <a:cs typeface="Arial" pitchFamily="34" charset="0"/>
            </a:rPr>
            <a:t>Charakterystyka wyrobów zawierających azbest i oddziaływanie azbestu na zdrowie człowieka. </a:t>
          </a:r>
          <a:r>
            <a:rPr lang="pl-PL" sz="1100" kern="1200">
              <a:latin typeface="Arial" pitchFamily="34" charset="0"/>
              <a:cs typeface="Arial" pitchFamily="34" charset="0"/>
            </a:rPr>
            <a:t>W tym rozdziale przedstawiono charakterystykę azbestu i jego zastosowanie, sposoby bezpiecznego użytkowania wyrobów zawierających azbest i metody ich usuwania, oddziaływanie azbestu na zdrowie ludzi oraz zasady informowania o ryzyku związanym z narażeniem na azbest występujący w środowisku.</a:t>
          </a:r>
          <a:endParaRPr lang="pl-PL" sz="1100" b="1" kern="1200">
            <a:latin typeface="Arial" pitchFamily="34" charset="0"/>
            <a:cs typeface="Arial" pitchFamily="34" charset="0"/>
          </a:endParaRPr>
        </a:p>
      </dsp:txBody>
      <dsp:txXfrm>
        <a:off x="0" y="1074855"/>
        <a:ext cx="5648325" cy="1102500"/>
      </dsp:txXfrm>
    </dsp:sp>
    <dsp:sp modelId="{CFA3C8C4-6B78-437A-A369-39543B4978C6}">
      <dsp:nvSpPr>
        <dsp:cNvPr id="0" name=""/>
        <dsp:cNvSpPr/>
      </dsp:nvSpPr>
      <dsp:spPr>
        <a:xfrm>
          <a:off x="282416" y="971535"/>
          <a:ext cx="3953827" cy="206640"/>
        </a:xfrm>
        <a:prstGeom prst="roundRect">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49445" tIns="0" rIns="149445" bIns="0" numCol="1" spcCol="1270" anchor="ctr" anchorCtr="0">
          <a:noAutofit/>
        </a:bodyPr>
        <a:lstStyle/>
        <a:p>
          <a:pPr marL="0" lvl="0" indent="0" algn="l" defTabSz="533400">
            <a:lnSpc>
              <a:spcPct val="90000"/>
            </a:lnSpc>
            <a:spcBef>
              <a:spcPct val="0"/>
            </a:spcBef>
            <a:spcAft>
              <a:spcPct val="35000"/>
            </a:spcAft>
            <a:buNone/>
          </a:pPr>
          <a:r>
            <a:rPr lang="pl-PL" sz="1200" b="1" kern="1200">
              <a:latin typeface="Arial" pitchFamily="34" charset="0"/>
              <a:cs typeface="Arial" pitchFamily="34" charset="0"/>
            </a:rPr>
            <a:t>Rozdział 2</a:t>
          </a:r>
          <a:r>
            <a:rPr lang="pl-PL" sz="1400" b="1" kern="1200">
              <a:latin typeface="Arial" pitchFamily="34" charset="0"/>
              <a:cs typeface="Arial" pitchFamily="34" charset="0"/>
            </a:rPr>
            <a:t>.</a:t>
          </a:r>
        </a:p>
      </dsp:txBody>
      <dsp:txXfrm>
        <a:off x="292503" y="981622"/>
        <a:ext cx="3933653" cy="186466"/>
      </dsp:txXfrm>
    </dsp:sp>
    <dsp:sp modelId="{ADE9AEFA-18ED-4754-AD00-30A9282F8120}">
      <dsp:nvSpPr>
        <dsp:cNvPr id="0" name=""/>
        <dsp:cNvSpPr/>
      </dsp:nvSpPr>
      <dsp:spPr>
        <a:xfrm>
          <a:off x="0" y="2318475"/>
          <a:ext cx="5648325" cy="815850"/>
        </a:xfrm>
        <a:prstGeom prst="rect">
          <a:avLst/>
        </a:prstGeom>
        <a:solidFill>
          <a:schemeClr val="lt1">
            <a:alpha val="90000"/>
            <a:hueOff val="0"/>
            <a:satOff val="0"/>
            <a:lumOff val="0"/>
            <a:alphaOff val="0"/>
          </a:schemeClr>
        </a:solidFill>
        <a:ln w="9525" cap="flat" cmpd="sng" algn="ctr">
          <a:solidFill>
            <a:schemeClr val="accent4">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38373" tIns="145796" rIns="438373" bIns="78232" numCol="1" spcCol="1270" anchor="t" anchorCtr="0">
          <a:noAutofit/>
        </a:bodyPr>
        <a:lstStyle/>
        <a:p>
          <a:pPr marL="57150" lvl="1" indent="-57150" algn="just" defTabSz="488950">
            <a:lnSpc>
              <a:spcPct val="90000"/>
            </a:lnSpc>
            <a:spcBef>
              <a:spcPct val="0"/>
            </a:spcBef>
            <a:spcAft>
              <a:spcPct val="15000"/>
            </a:spcAft>
            <a:buChar char="•"/>
          </a:pPr>
          <a:r>
            <a:rPr lang="pl-PL" sz="1100" b="1" i="1" kern="1200">
              <a:latin typeface="Arial" pitchFamily="34" charset="0"/>
              <a:cs typeface="Arial" pitchFamily="34" charset="0"/>
            </a:rPr>
            <a:t>Stan prawny w zakresie użytkowania i usuwania wyrobów i odpadów zawierających azbest. </a:t>
          </a:r>
          <a:r>
            <a:rPr lang="pl-PL" sz="1100" kern="1200">
              <a:latin typeface="Arial" pitchFamily="34" charset="0"/>
              <a:cs typeface="Arial" pitchFamily="34" charset="0"/>
            </a:rPr>
            <a:t>W rozdziale tym przedstawiono wybrane akty prawne dotyczące użytkowania i usuwania wyrobów zawierających azbest oraz procedury postępowania z wyrobami i odpadami zawierającymi azbest.</a:t>
          </a:r>
        </a:p>
      </dsp:txBody>
      <dsp:txXfrm>
        <a:off x="0" y="2318475"/>
        <a:ext cx="5648325" cy="815850"/>
      </dsp:txXfrm>
    </dsp:sp>
    <dsp:sp modelId="{3336A8B8-E01E-45C5-AC95-1CBF424B6946}">
      <dsp:nvSpPr>
        <dsp:cNvPr id="0" name=""/>
        <dsp:cNvSpPr/>
      </dsp:nvSpPr>
      <dsp:spPr>
        <a:xfrm>
          <a:off x="282416" y="2215155"/>
          <a:ext cx="3953827" cy="206640"/>
        </a:xfrm>
        <a:prstGeom prst="roundRect">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49445" tIns="0" rIns="149445" bIns="0" numCol="1" spcCol="1270" anchor="ctr" anchorCtr="0">
          <a:noAutofit/>
        </a:bodyPr>
        <a:lstStyle/>
        <a:p>
          <a:pPr marL="0" lvl="0" indent="0" algn="l" defTabSz="533400">
            <a:lnSpc>
              <a:spcPct val="90000"/>
            </a:lnSpc>
            <a:spcBef>
              <a:spcPct val="0"/>
            </a:spcBef>
            <a:spcAft>
              <a:spcPct val="35000"/>
            </a:spcAft>
            <a:buNone/>
          </a:pPr>
          <a:r>
            <a:rPr lang="pl-PL" sz="1200" b="1" kern="1200">
              <a:latin typeface="Arial" pitchFamily="34" charset="0"/>
              <a:cs typeface="Arial" pitchFamily="34" charset="0"/>
            </a:rPr>
            <a:t>Rozdział 3.</a:t>
          </a:r>
        </a:p>
      </dsp:txBody>
      <dsp:txXfrm>
        <a:off x="292503" y="2225242"/>
        <a:ext cx="3933653" cy="186466"/>
      </dsp:txXfrm>
    </dsp:sp>
    <dsp:sp modelId="{E14F5E5C-E97B-4BCB-939E-5B2D08CF3416}">
      <dsp:nvSpPr>
        <dsp:cNvPr id="0" name=""/>
        <dsp:cNvSpPr/>
      </dsp:nvSpPr>
      <dsp:spPr>
        <a:xfrm>
          <a:off x="0" y="3275445"/>
          <a:ext cx="5648325" cy="815850"/>
        </a:xfrm>
        <a:prstGeom prst="rect">
          <a:avLst/>
        </a:prstGeom>
        <a:solidFill>
          <a:schemeClr val="lt1">
            <a:alpha val="90000"/>
            <a:hueOff val="0"/>
            <a:satOff val="0"/>
            <a:lumOff val="0"/>
            <a:alphaOff val="0"/>
          </a:schemeClr>
        </a:solidFill>
        <a:ln w="9525" cap="flat" cmpd="sng" algn="ctr">
          <a:solidFill>
            <a:schemeClr val="accent5">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38373" tIns="145796" rIns="438373" bIns="78232" numCol="1" spcCol="1270" anchor="t" anchorCtr="0">
          <a:noAutofit/>
        </a:bodyPr>
        <a:lstStyle/>
        <a:p>
          <a:pPr marL="57150" lvl="1" indent="-57150" algn="just" defTabSz="488950">
            <a:lnSpc>
              <a:spcPct val="90000"/>
            </a:lnSpc>
            <a:spcBef>
              <a:spcPct val="0"/>
            </a:spcBef>
            <a:spcAft>
              <a:spcPct val="15000"/>
            </a:spcAft>
            <a:buChar char="•"/>
          </a:pPr>
          <a:r>
            <a:rPr lang="pl-PL" sz="1100" b="1" i="1" kern="1200">
              <a:latin typeface="Arial" pitchFamily="34" charset="0"/>
              <a:cs typeface="Arial" pitchFamily="34" charset="0"/>
            </a:rPr>
            <a:t>Zadania jednostek samorządu terytorialnego w zakresie usuwania azbestu.</a:t>
          </a:r>
          <a:r>
            <a:rPr lang="pl-PL" sz="1100" kern="1200">
              <a:latin typeface="Arial" pitchFamily="34" charset="0"/>
              <a:cs typeface="Arial" pitchFamily="34" charset="0"/>
            </a:rPr>
            <a:t> W rozdziale przedstawiono koncepcję zarządzania "Programem..." oraz zadania w zakresie zarządzania "Programem...." na poszczególnych poziomach.</a:t>
          </a:r>
          <a:endParaRPr lang="pl-PL" sz="1100" b="1" kern="1200">
            <a:latin typeface="Arial" pitchFamily="34" charset="0"/>
            <a:cs typeface="Arial" pitchFamily="34" charset="0"/>
          </a:endParaRPr>
        </a:p>
      </dsp:txBody>
      <dsp:txXfrm>
        <a:off x="0" y="3275445"/>
        <a:ext cx="5648325" cy="815850"/>
      </dsp:txXfrm>
    </dsp:sp>
    <dsp:sp modelId="{6D0D78D7-EAD5-4675-97B9-A0D6ED4F573E}">
      <dsp:nvSpPr>
        <dsp:cNvPr id="0" name=""/>
        <dsp:cNvSpPr/>
      </dsp:nvSpPr>
      <dsp:spPr>
        <a:xfrm>
          <a:off x="282416" y="3172125"/>
          <a:ext cx="3953827" cy="206640"/>
        </a:xfrm>
        <a:prstGeom prst="round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49445" tIns="0" rIns="149445" bIns="0" numCol="1" spcCol="1270" anchor="ctr" anchorCtr="0">
          <a:noAutofit/>
        </a:bodyPr>
        <a:lstStyle/>
        <a:p>
          <a:pPr marL="0" lvl="0" indent="0" algn="l" defTabSz="533400">
            <a:lnSpc>
              <a:spcPct val="90000"/>
            </a:lnSpc>
            <a:spcBef>
              <a:spcPct val="0"/>
            </a:spcBef>
            <a:spcAft>
              <a:spcPct val="35000"/>
            </a:spcAft>
            <a:buNone/>
          </a:pPr>
          <a:r>
            <a:rPr lang="pl-PL" sz="1200" b="1" kern="1200">
              <a:latin typeface="Arial" pitchFamily="34" charset="0"/>
              <a:cs typeface="Arial" pitchFamily="34" charset="0"/>
            </a:rPr>
            <a:t>Rozdział 4.</a:t>
          </a:r>
        </a:p>
      </dsp:txBody>
      <dsp:txXfrm>
        <a:off x="292503" y="3182212"/>
        <a:ext cx="3933653" cy="186466"/>
      </dsp:txXfrm>
    </dsp:sp>
    <dsp:sp modelId="{1070BF7B-0B02-4663-92C0-BDEE79E352A8}">
      <dsp:nvSpPr>
        <dsp:cNvPr id="0" name=""/>
        <dsp:cNvSpPr/>
      </dsp:nvSpPr>
      <dsp:spPr>
        <a:xfrm>
          <a:off x="0" y="4232415"/>
          <a:ext cx="5648325" cy="1256850"/>
        </a:xfrm>
        <a:prstGeom prst="rect">
          <a:avLst/>
        </a:prstGeom>
        <a:solidFill>
          <a:schemeClr val="lt1">
            <a:alpha val="90000"/>
            <a:hueOff val="0"/>
            <a:satOff val="0"/>
            <a:lumOff val="0"/>
            <a:alphaOff val="0"/>
          </a:schemeClr>
        </a:solidFill>
        <a:ln w="9525" cap="flat" cmpd="sng" algn="ctr">
          <a:solidFill>
            <a:schemeClr val="accent6">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38373" tIns="145796" rIns="438373" bIns="78232" numCol="1" spcCol="1270" anchor="t" anchorCtr="0">
          <a:noAutofit/>
        </a:bodyPr>
        <a:lstStyle/>
        <a:p>
          <a:pPr marL="57150" lvl="1" indent="-57150" algn="just" defTabSz="488950">
            <a:lnSpc>
              <a:spcPct val="90000"/>
            </a:lnSpc>
            <a:spcBef>
              <a:spcPct val="0"/>
            </a:spcBef>
            <a:spcAft>
              <a:spcPct val="15000"/>
            </a:spcAft>
            <a:buChar char="•"/>
          </a:pPr>
          <a:r>
            <a:rPr lang="pl-PL" sz="1100" b="1" i="1" kern="1200">
              <a:latin typeface="Arial" pitchFamily="34" charset="0"/>
              <a:cs typeface="Arial" pitchFamily="34" charset="0"/>
            </a:rPr>
            <a:t>Gospodarowanie wyrobami i odpadami zawierającymi azbest na terenie gminy Mrocza. </a:t>
          </a:r>
          <a:r>
            <a:rPr lang="pl-PL" sz="1100" kern="1200">
              <a:latin typeface="Arial" pitchFamily="34" charset="0"/>
              <a:cs typeface="Arial" pitchFamily="34" charset="0"/>
            </a:rPr>
            <a:t>W rozdziale przedstawiono ilość wyrobów zawierających azbest wymagających usunięcia oraz strategię w zakresie usuwania wyrobów zawierających azbest i unieszkodliwiania odpadów azbestowych, tj. cele w perspektywie krótko-, średnio- i długoterminowej wraz z harmonogramem realizacji przedsięwzięć i ich kosztami oraz źródłami finansowania.</a:t>
          </a:r>
          <a:endParaRPr lang="pl-PL" sz="1100" b="1" kern="1200">
            <a:latin typeface="Arial" pitchFamily="34" charset="0"/>
            <a:cs typeface="Arial" pitchFamily="34" charset="0"/>
          </a:endParaRPr>
        </a:p>
      </dsp:txBody>
      <dsp:txXfrm>
        <a:off x="0" y="4232415"/>
        <a:ext cx="5648325" cy="1256850"/>
      </dsp:txXfrm>
    </dsp:sp>
    <dsp:sp modelId="{2F7EB99A-846B-43CE-8258-AFA9982BCF76}">
      <dsp:nvSpPr>
        <dsp:cNvPr id="0" name=""/>
        <dsp:cNvSpPr/>
      </dsp:nvSpPr>
      <dsp:spPr>
        <a:xfrm>
          <a:off x="282416" y="4129095"/>
          <a:ext cx="3953827" cy="206640"/>
        </a:xfrm>
        <a:prstGeom prst="roundRect">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49445" tIns="0" rIns="149445" bIns="0" numCol="1" spcCol="1270" anchor="ctr" anchorCtr="0">
          <a:noAutofit/>
        </a:bodyPr>
        <a:lstStyle/>
        <a:p>
          <a:pPr marL="0" lvl="0" indent="0" algn="just" defTabSz="533400">
            <a:lnSpc>
              <a:spcPct val="90000"/>
            </a:lnSpc>
            <a:spcBef>
              <a:spcPct val="0"/>
            </a:spcBef>
            <a:spcAft>
              <a:spcPct val="35000"/>
            </a:spcAft>
            <a:buNone/>
          </a:pPr>
          <a:r>
            <a:rPr lang="pl-PL" sz="1200" b="1" kern="1200">
              <a:latin typeface="Arial" pitchFamily="34" charset="0"/>
              <a:cs typeface="Arial" pitchFamily="34" charset="0"/>
            </a:rPr>
            <a:t>Rozdział 5. </a:t>
          </a:r>
        </a:p>
      </dsp:txBody>
      <dsp:txXfrm>
        <a:off x="292503" y="4139182"/>
        <a:ext cx="3933653" cy="186466"/>
      </dsp:txXfrm>
    </dsp:sp>
    <dsp:sp modelId="{E161BD3D-10C6-4358-A2B1-09EC4D32DC89}">
      <dsp:nvSpPr>
        <dsp:cNvPr id="0" name=""/>
        <dsp:cNvSpPr/>
      </dsp:nvSpPr>
      <dsp:spPr>
        <a:xfrm>
          <a:off x="0" y="5630385"/>
          <a:ext cx="5648325" cy="374850"/>
        </a:xfrm>
        <a:prstGeom prst="rect">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38373" tIns="145796" rIns="438373" bIns="78232" numCol="1" spcCol="1270" anchor="t" anchorCtr="0">
          <a:noAutofit/>
        </a:bodyPr>
        <a:lstStyle/>
        <a:p>
          <a:pPr marL="57150" lvl="1" indent="-57150" algn="just" defTabSz="488950">
            <a:lnSpc>
              <a:spcPct val="90000"/>
            </a:lnSpc>
            <a:spcBef>
              <a:spcPct val="0"/>
            </a:spcBef>
            <a:spcAft>
              <a:spcPct val="15000"/>
            </a:spcAft>
            <a:buChar char="•"/>
          </a:pPr>
          <a:r>
            <a:rPr lang="pl-PL" sz="1100" b="1" i="1" kern="1200">
              <a:latin typeface="Arial" pitchFamily="34" charset="0"/>
              <a:cs typeface="Arial" pitchFamily="34" charset="0"/>
            </a:rPr>
            <a:t>Wnioski końcowe</a:t>
          </a:r>
          <a:r>
            <a:rPr lang="pl-PL" sz="1100" kern="1200">
              <a:latin typeface="Arial" pitchFamily="34" charset="0"/>
              <a:cs typeface="Arial" pitchFamily="34" charset="0"/>
            </a:rPr>
            <a:t>. Podsumowanie wraz z wnioskami.</a:t>
          </a:r>
          <a:endParaRPr lang="pl-PL" sz="1100" b="1" kern="1200">
            <a:latin typeface="Arial" pitchFamily="34" charset="0"/>
            <a:cs typeface="Arial" pitchFamily="34" charset="0"/>
          </a:endParaRPr>
        </a:p>
      </dsp:txBody>
      <dsp:txXfrm>
        <a:off x="0" y="5630385"/>
        <a:ext cx="5648325" cy="374850"/>
      </dsp:txXfrm>
    </dsp:sp>
    <dsp:sp modelId="{3C9C3B68-0D90-41F2-BDD3-C2C9F71747AC}">
      <dsp:nvSpPr>
        <dsp:cNvPr id="0" name=""/>
        <dsp:cNvSpPr/>
      </dsp:nvSpPr>
      <dsp:spPr>
        <a:xfrm>
          <a:off x="282416" y="5527065"/>
          <a:ext cx="3953827" cy="206640"/>
        </a:xfrm>
        <a:prstGeom prst="roundRect">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49445" tIns="0" rIns="149445" bIns="0" numCol="1" spcCol="1270" anchor="ctr" anchorCtr="0">
          <a:noAutofit/>
        </a:bodyPr>
        <a:lstStyle/>
        <a:p>
          <a:pPr marL="0" lvl="0" indent="0" algn="just" defTabSz="533400">
            <a:lnSpc>
              <a:spcPct val="90000"/>
            </a:lnSpc>
            <a:spcBef>
              <a:spcPct val="0"/>
            </a:spcBef>
            <a:spcAft>
              <a:spcPct val="35000"/>
            </a:spcAft>
            <a:buNone/>
          </a:pPr>
          <a:r>
            <a:rPr lang="pl-PL" sz="1200" b="1" kern="1200">
              <a:latin typeface="Arial" pitchFamily="34" charset="0"/>
              <a:cs typeface="Arial" pitchFamily="34" charset="0"/>
            </a:rPr>
            <a:t>Rozdział 6.</a:t>
          </a:r>
        </a:p>
      </dsp:txBody>
      <dsp:txXfrm>
        <a:off x="292503" y="5537152"/>
        <a:ext cx="3933653" cy="18646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119D009-F045-4EAE-99E7-52DA6D88B802}">
      <dsp:nvSpPr>
        <dsp:cNvPr id="0" name=""/>
        <dsp:cNvSpPr/>
      </dsp:nvSpPr>
      <dsp:spPr>
        <a:xfrm>
          <a:off x="0" y="438539"/>
          <a:ext cx="6267450" cy="1228500"/>
        </a:xfrm>
        <a:prstGeom prst="rect">
          <a:avLst/>
        </a:prstGeom>
        <a:solidFill>
          <a:schemeClr val="lt2">
            <a:alpha val="90000"/>
            <a:hueOff val="0"/>
            <a:satOff val="0"/>
            <a:lumOff val="0"/>
            <a:alphaOff val="0"/>
          </a:schemeClr>
        </a:solidFill>
        <a:ln w="9525" cap="flat" cmpd="sng" algn="ctr">
          <a:solidFill>
            <a:schemeClr val="dk2">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86424" tIns="541528" rIns="486424" bIns="78232" numCol="1" spcCol="1270" anchor="t" anchorCtr="0">
          <a:noAutofit/>
        </a:bodyPr>
        <a:lstStyle/>
        <a:p>
          <a:pPr marL="57150" lvl="1" indent="-57150" algn="l" defTabSz="488950">
            <a:lnSpc>
              <a:spcPct val="90000"/>
            </a:lnSpc>
            <a:spcBef>
              <a:spcPct val="0"/>
            </a:spcBef>
            <a:spcAft>
              <a:spcPct val="15000"/>
            </a:spcAft>
            <a:buChar char="•"/>
          </a:pPr>
          <a:r>
            <a:rPr lang="pl-PL" sz="1100" b="1" kern="1200">
              <a:latin typeface="Arial" pitchFamily="34" charset="0"/>
              <a:ea typeface="+mn-ea"/>
              <a:cs typeface="Arial" pitchFamily="34" charset="0"/>
            </a:rPr>
            <a:t>Procedura 1.</a:t>
          </a:r>
          <a:r>
            <a:rPr lang="pl-PL" sz="1100" kern="1200">
              <a:latin typeface="Arial" pitchFamily="34" charset="0"/>
              <a:ea typeface="+mn-ea"/>
              <a:cs typeface="Arial" pitchFamily="34" charset="0"/>
            </a:rPr>
            <a:t>   Obowiązki i postępowanie właścicieli oraz zarządców, przy użytkowaniu obiektów i terenów z wyrobami zawierającymi azbest.</a:t>
          </a:r>
        </a:p>
        <a:p>
          <a:pPr marL="57150" lvl="1" indent="-57150" algn="l" defTabSz="488950">
            <a:lnSpc>
              <a:spcPct val="90000"/>
            </a:lnSpc>
            <a:spcBef>
              <a:spcPct val="0"/>
            </a:spcBef>
            <a:spcAft>
              <a:spcPct val="15000"/>
            </a:spcAft>
            <a:buChar char="•"/>
          </a:pPr>
          <a:r>
            <a:rPr lang="pl-PL" sz="1100" b="1" kern="1200">
              <a:latin typeface="Arial" pitchFamily="34" charset="0"/>
              <a:ea typeface="+mn-ea"/>
              <a:cs typeface="Arial" pitchFamily="34" charset="0"/>
            </a:rPr>
            <a:t>Procedura 2. </a:t>
          </a:r>
          <a:r>
            <a:rPr lang="pl-PL" sz="1100" kern="1200">
              <a:latin typeface="Arial" pitchFamily="34" charset="0"/>
              <a:ea typeface="+mn-ea"/>
              <a:cs typeface="Arial" pitchFamily="34" charset="0"/>
            </a:rPr>
            <a:t>Obowiązki i postępowanie właścicieli i zarządców, przy usuwaniu wyrobów zawierających azbest z obiektów lub terenów.</a:t>
          </a:r>
        </a:p>
      </dsp:txBody>
      <dsp:txXfrm>
        <a:off x="0" y="438539"/>
        <a:ext cx="6267450" cy="1228500"/>
      </dsp:txXfrm>
    </dsp:sp>
    <dsp:sp modelId="{C800306F-E218-48E6-BFFD-11161E1DDC75}">
      <dsp:nvSpPr>
        <dsp:cNvPr id="0" name=""/>
        <dsp:cNvSpPr/>
      </dsp:nvSpPr>
      <dsp:spPr>
        <a:xfrm>
          <a:off x="313372" y="54779"/>
          <a:ext cx="4387215" cy="767520"/>
        </a:xfrm>
        <a:prstGeom prst="roundRect">
          <a:avLst/>
        </a:prstGeom>
        <a:gradFill rotWithShape="0">
          <a:gsLst>
            <a:gs pos="0">
              <a:schemeClr val="dk2">
                <a:hueOff val="0"/>
                <a:satOff val="0"/>
                <a:lumOff val="0"/>
                <a:alphaOff val="0"/>
                <a:shade val="51000"/>
                <a:satMod val="130000"/>
              </a:schemeClr>
            </a:gs>
            <a:gs pos="80000">
              <a:schemeClr val="dk2">
                <a:hueOff val="0"/>
                <a:satOff val="0"/>
                <a:lumOff val="0"/>
                <a:alphaOff val="0"/>
                <a:shade val="93000"/>
                <a:satMod val="130000"/>
              </a:schemeClr>
            </a:gs>
            <a:gs pos="100000">
              <a:schemeClr val="dk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5826" tIns="0" rIns="165826" bIns="0" numCol="1" spcCol="1270" anchor="ctr" anchorCtr="0">
          <a:noAutofit/>
        </a:bodyPr>
        <a:lstStyle/>
        <a:p>
          <a:pPr marL="0" lvl="0" indent="0" algn="just" defTabSz="488950">
            <a:lnSpc>
              <a:spcPct val="90000"/>
            </a:lnSpc>
            <a:spcBef>
              <a:spcPct val="0"/>
            </a:spcBef>
            <a:spcAft>
              <a:spcPct val="35000"/>
            </a:spcAft>
            <a:buNone/>
          </a:pPr>
          <a:r>
            <a:rPr lang="pl-PL" sz="1100" b="1" i="1" kern="1200">
              <a:latin typeface="Arial" pitchFamily="34" charset="0"/>
              <a:ea typeface="+mn-ea"/>
              <a:cs typeface="Arial" pitchFamily="34" charset="0"/>
            </a:rPr>
            <a:t>Grupa I. </a:t>
          </a:r>
        </a:p>
        <a:p>
          <a:pPr marL="0" lvl="0" indent="0" algn="just" defTabSz="488950">
            <a:lnSpc>
              <a:spcPct val="90000"/>
            </a:lnSpc>
            <a:spcBef>
              <a:spcPct val="0"/>
            </a:spcBef>
            <a:spcAft>
              <a:spcPct val="35000"/>
            </a:spcAft>
            <a:buNone/>
          </a:pPr>
          <a:r>
            <a:rPr lang="pl-PL" sz="1100" i="0" kern="1200">
              <a:latin typeface="Arial" pitchFamily="34" charset="0"/>
              <a:ea typeface="+mn-ea"/>
              <a:cs typeface="Arial" pitchFamily="34" charset="0"/>
            </a:rPr>
            <a:t>Procedury obowiązujące właścicieli i zarządzających obiektami, instalacjami  lub urządzeniami zawierającymi azbest.</a:t>
          </a:r>
        </a:p>
      </dsp:txBody>
      <dsp:txXfrm>
        <a:off x="350839" y="92246"/>
        <a:ext cx="4312281" cy="692586"/>
      </dsp:txXfrm>
    </dsp:sp>
    <dsp:sp modelId="{B0EB2A56-3ABF-4EB9-A726-5A585B556EE8}">
      <dsp:nvSpPr>
        <dsp:cNvPr id="0" name=""/>
        <dsp:cNvSpPr/>
      </dsp:nvSpPr>
      <dsp:spPr>
        <a:xfrm>
          <a:off x="0" y="2191199"/>
          <a:ext cx="6267450" cy="1208025"/>
        </a:xfrm>
        <a:prstGeom prst="rect">
          <a:avLst/>
        </a:prstGeom>
        <a:solidFill>
          <a:schemeClr val="lt2">
            <a:alpha val="90000"/>
            <a:hueOff val="0"/>
            <a:satOff val="0"/>
            <a:lumOff val="0"/>
            <a:alphaOff val="0"/>
          </a:schemeClr>
        </a:solidFill>
        <a:ln w="9525" cap="flat" cmpd="sng" algn="ctr">
          <a:solidFill>
            <a:schemeClr val="dk2">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86424" tIns="541528" rIns="486424" bIns="78232" numCol="1" spcCol="1270" anchor="t" anchorCtr="0">
          <a:noAutofit/>
        </a:bodyPr>
        <a:lstStyle/>
        <a:p>
          <a:pPr marL="57150" lvl="1" indent="-57150" algn="l" defTabSz="466725">
            <a:lnSpc>
              <a:spcPct val="90000"/>
            </a:lnSpc>
            <a:spcBef>
              <a:spcPct val="0"/>
            </a:spcBef>
            <a:spcAft>
              <a:spcPct val="15000"/>
            </a:spcAft>
            <a:buChar char="•"/>
          </a:pPr>
          <a:r>
            <a:rPr lang="pl-PL" sz="1050" b="1" kern="1200">
              <a:latin typeface="Arial" pitchFamily="34" charset="0"/>
              <a:ea typeface="+mn-ea"/>
              <a:cs typeface="Arial" pitchFamily="34" charset="0"/>
            </a:rPr>
            <a:t>Procedura 3.</a:t>
          </a:r>
          <a:r>
            <a:rPr lang="pl-PL" sz="1050" kern="1200">
              <a:latin typeface="Arial" pitchFamily="34" charset="0"/>
              <a:ea typeface="+mn-ea"/>
              <a:cs typeface="Arial" pitchFamily="34" charset="0"/>
            </a:rPr>
            <a:t>    Postępowanie przy pracach przygotowawczych do usuwania wyrobów zawierających azbest.</a:t>
          </a:r>
        </a:p>
        <a:p>
          <a:pPr marL="57150" lvl="1" indent="-57150" algn="l" defTabSz="466725">
            <a:lnSpc>
              <a:spcPct val="90000"/>
            </a:lnSpc>
            <a:spcBef>
              <a:spcPct val="0"/>
            </a:spcBef>
            <a:spcAft>
              <a:spcPct val="15000"/>
            </a:spcAft>
            <a:buChar char="•"/>
          </a:pPr>
          <a:r>
            <a:rPr lang="pl-PL" sz="1050" b="1" kern="1200">
              <a:latin typeface="Arial" pitchFamily="34" charset="0"/>
              <a:ea typeface="+mn-ea"/>
              <a:cs typeface="Arial" pitchFamily="34" charset="0"/>
            </a:rPr>
            <a:t>Procedura 4. </a:t>
          </a:r>
          <a:r>
            <a:rPr lang="pl-PL" sz="1050" kern="1200">
              <a:latin typeface="Arial" pitchFamily="34" charset="0"/>
              <a:ea typeface="+mn-ea"/>
              <a:cs typeface="Arial" pitchFamily="34" charset="0"/>
            </a:rPr>
            <a:t>Prace polegające na usuwaniu wyrobów zawierających azbest, wytwarzaniu odpadów niebezpiecznych, oczyszczeniu obiektu (terenu) instalacji.</a:t>
          </a:r>
        </a:p>
      </dsp:txBody>
      <dsp:txXfrm>
        <a:off x="0" y="2191199"/>
        <a:ext cx="6267450" cy="1208025"/>
      </dsp:txXfrm>
    </dsp:sp>
    <dsp:sp modelId="{A7154510-8BCC-4ED0-98EF-449BDB0AB2D5}">
      <dsp:nvSpPr>
        <dsp:cNvPr id="0" name=""/>
        <dsp:cNvSpPr/>
      </dsp:nvSpPr>
      <dsp:spPr>
        <a:xfrm>
          <a:off x="313372" y="1807439"/>
          <a:ext cx="4387215" cy="767520"/>
        </a:xfrm>
        <a:prstGeom prst="roundRect">
          <a:avLst/>
        </a:prstGeom>
        <a:gradFill rotWithShape="0">
          <a:gsLst>
            <a:gs pos="0">
              <a:schemeClr val="dk2">
                <a:hueOff val="0"/>
                <a:satOff val="0"/>
                <a:lumOff val="0"/>
                <a:alphaOff val="0"/>
                <a:shade val="51000"/>
                <a:satMod val="130000"/>
              </a:schemeClr>
            </a:gs>
            <a:gs pos="80000">
              <a:schemeClr val="dk2">
                <a:hueOff val="0"/>
                <a:satOff val="0"/>
                <a:lumOff val="0"/>
                <a:alphaOff val="0"/>
                <a:shade val="93000"/>
                <a:satMod val="130000"/>
              </a:schemeClr>
            </a:gs>
            <a:gs pos="100000">
              <a:schemeClr val="dk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5826" tIns="0" rIns="165826" bIns="0" numCol="1" spcCol="1270" anchor="ctr" anchorCtr="0">
          <a:noAutofit/>
        </a:bodyPr>
        <a:lstStyle/>
        <a:p>
          <a:pPr marL="0" lvl="0" indent="0" algn="just" defTabSz="488950">
            <a:lnSpc>
              <a:spcPct val="90000"/>
            </a:lnSpc>
            <a:spcBef>
              <a:spcPct val="0"/>
            </a:spcBef>
            <a:spcAft>
              <a:spcPct val="35000"/>
            </a:spcAft>
            <a:buNone/>
          </a:pPr>
          <a:r>
            <a:rPr lang="pl-PL" sz="1100" b="1" i="1" kern="1200">
              <a:latin typeface="Arial" pitchFamily="34" charset="0"/>
              <a:ea typeface="+mn-ea"/>
              <a:cs typeface="Arial" pitchFamily="34" charset="0"/>
            </a:rPr>
            <a:t>Grupa II. </a:t>
          </a:r>
        </a:p>
        <a:p>
          <a:pPr marL="0" lvl="0" indent="0" algn="just" defTabSz="488950">
            <a:lnSpc>
              <a:spcPct val="90000"/>
            </a:lnSpc>
            <a:spcBef>
              <a:spcPct val="0"/>
            </a:spcBef>
            <a:spcAft>
              <a:spcPct val="35000"/>
            </a:spcAft>
            <a:buNone/>
          </a:pPr>
          <a:r>
            <a:rPr lang="pl-PL" sz="1100" b="1" i="1" kern="1200">
              <a:latin typeface="Arial" pitchFamily="34" charset="0"/>
              <a:ea typeface="+mn-ea"/>
              <a:cs typeface="Arial" pitchFamily="34" charset="0"/>
            </a:rPr>
            <a:t> </a:t>
          </a:r>
          <a:r>
            <a:rPr lang="pl-PL" sz="1100" i="0" kern="1200">
              <a:latin typeface="Arial" pitchFamily="34" charset="0"/>
              <a:ea typeface="+mn-ea"/>
              <a:cs typeface="Arial" pitchFamily="34" charset="0"/>
            </a:rPr>
            <a:t>Procedury obowiązujące wykonawców prac polegających na usuwaniu wyrobów zawierających azbest – wytwórców odpadów niebezpiecznych.</a:t>
          </a:r>
        </a:p>
      </dsp:txBody>
      <dsp:txXfrm>
        <a:off x="350839" y="1844906"/>
        <a:ext cx="4312281" cy="692586"/>
      </dsp:txXfrm>
    </dsp:sp>
    <dsp:sp modelId="{3D4EDEA3-046C-48AD-BE19-113B345456B9}">
      <dsp:nvSpPr>
        <dsp:cNvPr id="0" name=""/>
        <dsp:cNvSpPr/>
      </dsp:nvSpPr>
      <dsp:spPr>
        <a:xfrm>
          <a:off x="0" y="3923385"/>
          <a:ext cx="6267450" cy="900900"/>
        </a:xfrm>
        <a:prstGeom prst="rect">
          <a:avLst/>
        </a:prstGeom>
        <a:solidFill>
          <a:schemeClr val="lt2">
            <a:alpha val="90000"/>
            <a:hueOff val="0"/>
            <a:satOff val="0"/>
            <a:lumOff val="0"/>
            <a:alphaOff val="0"/>
          </a:schemeClr>
        </a:solidFill>
        <a:ln w="9525" cap="flat" cmpd="sng" algn="ctr">
          <a:solidFill>
            <a:schemeClr val="dk2">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86424" tIns="541528" rIns="486424" bIns="78232" numCol="1" spcCol="1270" anchor="t" anchorCtr="0">
          <a:noAutofit/>
        </a:bodyPr>
        <a:lstStyle/>
        <a:p>
          <a:pPr marL="57150" lvl="1" indent="-57150" algn="l" defTabSz="466725">
            <a:lnSpc>
              <a:spcPct val="90000"/>
            </a:lnSpc>
            <a:spcBef>
              <a:spcPct val="0"/>
            </a:spcBef>
            <a:spcAft>
              <a:spcPct val="15000"/>
            </a:spcAft>
            <a:buChar char="•"/>
          </a:pPr>
          <a:r>
            <a:rPr lang="pl-PL" sz="1050" b="1" kern="1200">
              <a:latin typeface="Arial" pitchFamily="34" charset="0"/>
              <a:ea typeface="+mn-ea"/>
              <a:cs typeface="Arial" pitchFamily="34" charset="0"/>
            </a:rPr>
            <a:t>Procedura 5.</a:t>
          </a:r>
          <a:r>
            <a:rPr lang="pl-PL" sz="1050" kern="1200">
              <a:latin typeface="Arial" pitchFamily="34" charset="0"/>
              <a:ea typeface="+mn-ea"/>
              <a:cs typeface="Arial" pitchFamily="34" charset="0"/>
            </a:rPr>
            <a:t>   Przygotowanie  i  transport   odpadów niebezpiecznych zawierających azbest.</a:t>
          </a:r>
          <a:endParaRPr lang="pl-PL" sz="1050" b="0" i="0" kern="1200">
            <a:latin typeface="Arial" pitchFamily="34" charset="0"/>
            <a:ea typeface="+mn-ea"/>
            <a:cs typeface="Arial" pitchFamily="34" charset="0"/>
          </a:endParaRPr>
        </a:p>
      </dsp:txBody>
      <dsp:txXfrm>
        <a:off x="0" y="3923385"/>
        <a:ext cx="6267450" cy="900900"/>
      </dsp:txXfrm>
    </dsp:sp>
    <dsp:sp modelId="{6ADCC770-0D95-4781-9DD8-088B29161600}">
      <dsp:nvSpPr>
        <dsp:cNvPr id="0" name=""/>
        <dsp:cNvSpPr/>
      </dsp:nvSpPr>
      <dsp:spPr>
        <a:xfrm>
          <a:off x="313372" y="3539625"/>
          <a:ext cx="4387215" cy="767520"/>
        </a:xfrm>
        <a:prstGeom prst="roundRect">
          <a:avLst/>
        </a:prstGeom>
        <a:gradFill rotWithShape="0">
          <a:gsLst>
            <a:gs pos="0">
              <a:schemeClr val="dk2">
                <a:hueOff val="0"/>
                <a:satOff val="0"/>
                <a:lumOff val="0"/>
                <a:alphaOff val="0"/>
                <a:shade val="51000"/>
                <a:satMod val="130000"/>
              </a:schemeClr>
            </a:gs>
            <a:gs pos="80000">
              <a:schemeClr val="dk2">
                <a:hueOff val="0"/>
                <a:satOff val="0"/>
                <a:lumOff val="0"/>
                <a:alphaOff val="0"/>
                <a:shade val="93000"/>
                <a:satMod val="130000"/>
              </a:schemeClr>
            </a:gs>
            <a:gs pos="100000">
              <a:schemeClr val="dk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5826" tIns="0" rIns="165826" bIns="0" numCol="1" spcCol="1270" anchor="ctr" anchorCtr="0">
          <a:noAutofit/>
        </a:bodyPr>
        <a:lstStyle/>
        <a:p>
          <a:pPr marL="0" lvl="0" indent="0" algn="just" defTabSz="488950">
            <a:lnSpc>
              <a:spcPct val="90000"/>
            </a:lnSpc>
            <a:spcBef>
              <a:spcPct val="0"/>
            </a:spcBef>
            <a:spcAft>
              <a:spcPct val="35000"/>
            </a:spcAft>
            <a:buNone/>
          </a:pPr>
          <a:r>
            <a:rPr lang="pl-PL" sz="1100" b="1" i="1" kern="1200">
              <a:latin typeface="Arial" pitchFamily="34" charset="0"/>
              <a:ea typeface="+mn-ea"/>
              <a:cs typeface="Arial" pitchFamily="34" charset="0"/>
            </a:rPr>
            <a:t>Grupa III.                            </a:t>
          </a:r>
        </a:p>
        <a:p>
          <a:pPr marL="0" lvl="0" indent="0" algn="just" defTabSz="488950">
            <a:lnSpc>
              <a:spcPct val="90000"/>
            </a:lnSpc>
            <a:spcBef>
              <a:spcPct val="0"/>
            </a:spcBef>
            <a:spcAft>
              <a:spcPct val="35000"/>
            </a:spcAft>
            <a:buNone/>
          </a:pPr>
          <a:r>
            <a:rPr lang="pl-PL" sz="1100" b="1" i="1" kern="1200">
              <a:latin typeface="Arial" pitchFamily="34" charset="0"/>
              <a:ea typeface="+mn-ea"/>
              <a:cs typeface="Arial" pitchFamily="34" charset="0"/>
            </a:rPr>
            <a:t> </a:t>
          </a:r>
          <a:r>
            <a:rPr lang="pl-PL" sz="1100" b="0" i="0" kern="1200">
              <a:latin typeface="Arial" pitchFamily="34" charset="0"/>
              <a:ea typeface="+mn-ea"/>
              <a:cs typeface="Arial" pitchFamily="34" charset="0"/>
            </a:rPr>
            <a:t>Procedura obowiązująca prowadzących działalność w zakresie transportu odpadów niebezpiecznych zawierających azbest.</a:t>
          </a:r>
        </a:p>
      </dsp:txBody>
      <dsp:txXfrm>
        <a:off x="350839" y="3577092"/>
        <a:ext cx="4312281" cy="692586"/>
      </dsp:txXfrm>
    </dsp:sp>
    <dsp:sp modelId="{73F62A08-0663-4563-99D9-87C47DC270C4}">
      <dsp:nvSpPr>
        <dsp:cNvPr id="0" name=""/>
        <dsp:cNvSpPr/>
      </dsp:nvSpPr>
      <dsp:spPr>
        <a:xfrm>
          <a:off x="0" y="5348445"/>
          <a:ext cx="6267450" cy="921375"/>
        </a:xfrm>
        <a:prstGeom prst="rect">
          <a:avLst/>
        </a:prstGeom>
        <a:solidFill>
          <a:schemeClr val="lt2">
            <a:alpha val="90000"/>
            <a:hueOff val="0"/>
            <a:satOff val="0"/>
            <a:lumOff val="0"/>
            <a:alphaOff val="0"/>
          </a:schemeClr>
        </a:solidFill>
        <a:ln w="9525" cap="flat" cmpd="sng" algn="ctr">
          <a:solidFill>
            <a:schemeClr val="dk2">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86424" tIns="541528" rIns="486424" bIns="78232" numCol="1" spcCol="1270" anchor="t" anchorCtr="0">
          <a:noAutofit/>
        </a:bodyPr>
        <a:lstStyle/>
        <a:p>
          <a:pPr marL="57150" lvl="1" indent="-57150" algn="just" defTabSz="488950">
            <a:lnSpc>
              <a:spcPct val="90000"/>
            </a:lnSpc>
            <a:spcBef>
              <a:spcPct val="0"/>
            </a:spcBef>
            <a:spcAft>
              <a:spcPct val="15000"/>
            </a:spcAft>
            <a:buChar char="•"/>
          </a:pPr>
          <a:r>
            <a:rPr lang="pl-PL" sz="1100" b="1" kern="1200">
              <a:latin typeface="Arial" pitchFamily="34" charset="0"/>
              <a:ea typeface="+mn-ea"/>
              <a:cs typeface="Arial" pitchFamily="34" charset="0"/>
            </a:rPr>
            <a:t>Procedura 6.</a:t>
          </a:r>
          <a:r>
            <a:rPr lang="pl-PL" sz="1100" kern="1200">
              <a:latin typeface="Arial" pitchFamily="34" charset="0"/>
              <a:ea typeface="+mn-ea"/>
              <a:cs typeface="Arial" pitchFamily="34" charset="0"/>
            </a:rPr>
            <a:t>  Składowanie odpadów na składowiskach lub wydzielonych kwaterach przeznaczonych do wyłącznego składowania odpadów zawierających azbest.</a:t>
          </a:r>
          <a:endParaRPr lang="pl-PL" sz="1100" b="0" i="0" kern="1200">
            <a:latin typeface="Arial" pitchFamily="34" charset="0"/>
            <a:ea typeface="+mn-ea"/>
            <a:cs typeface="Arial" pitchFamily="34" charset="0"/>
          </a:endParaRPr>
        </a:p>
      </dsp:txBody>
      <dsp:txXfrm>
        <a:off x="0" y="5348445"/>
        <a:ext cx="6267450" cy="921375"/>
      </dsp:txXfrm>
    </dsp:sp>
    <dsp:sp modelId="{59D2CE6C-4243-4566-8A27-5417811C8E3F}">
      <dsp:nvSpPr>
        <dsp:cNvPr id="0" name=""/>
        <dsp:cNvSpPr/>
      </dsp:nvSpPr>
      <dsp:spPr>
        <a:xfrm>
          <a:off x="313372" y="4964685"/>
          <a:ext cx="4387215" cy="767520"/>
        </a:xfrm>
        <a:prstGeom prst="roundRect">
          <a:avLst/>
        </a:prstGeom>
        <a:gradFill rotWithShape="0">
          <a:gsLst>
            <a:gs pos="0">
              <a:schemeClr val="dk2">
                <a:hueOff val="0"/>
                <a:satOff val="0"/>
                <a:lumOff val="0"/>
                <a:alphaOff val="0"/>
                <a:shade val="51000"/>
                <a:satMod val="130000"/>
              </a:schemeClr>
            </a:gs>
            <a:gs pos="80000">
              <a:schemeClr val="dk2">
                <a:hueOff val="0"/>
                <a:satOff val="0"/>
                <a:lumOff val="0"/>
                <a:alphaOff val="0"/>
                <a:shade val="93000"/>
                <a:satMod val="130000"/>
              </a:schemeClr>
            </a:gs>
            <a:gs pos="100000">
              <a:schemeClr val="dk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5826" tIns="0" rIns="165826" bIns="0" numCol="1" spcCol="1270" anchor="ctr" anchorCtr="0">
          <a:noAutofit/>
        </a:bodyPr>
        <a:lstStyle/>
        <a:p>
          <a:pPr marL="0" lvl="0" indent="0" algn="just" defTabSz="488950">
            <a:lnSpc>
              <a:spcPct val="90000"/>
            </a:lnSpc>
            <a:spcBef>
              <a:spcPct val="0"/>
            </a:spcBef>
            <a:spcAft>
              <a:spcPct val="35000"/>
            </a:spcAft>
            <a:buNone/>
          </a:pPr>
          <a:r>
            <a:rPr lang="pl-PL" sz="1100" b="1" i="1" kern="1200">
              <a:latin typeface="Arial" pitchFamily="34" charset="0"/>
              <a:ea typeface="+mn-ea"/>
              <a:cs typeface="Arial" pitchFamily="34" charset="0"/>
            </a:rPr>
            <a:t>Grupa IV.                           </a:t>
          </a:r>
        </a:p>
        <a:p>
          <a:pPr marL="0" lvl="0" indent="0" algn="just" defTabSz="488950">
            <a:lnSpc>
              <a:spcPct val="90000"/>
            </a:lnSpc>
            <a:spcBef>
              <a:spcPct val="0"/>
            </a:spcBef>
            <a:spcAft>
              <a:spcPct val="35000"/>
            </a:spcAft>
            <a:buNone/>
          </a:pPr>
          <a:r>
            <a:rPr lang="pl-PL" sz="1100" b="1" i="1" kern="1200">
              <a:latin typeface="Arial" pitchFamily="34" charset="0"/>
              <a:ea typeface="+mn-ea"/>
              <a:cs typeface="Arial" pitchFamily="34" charset="0"/>
            </a:rPr>
            <a:t> </a:t>
          </a:r>
          <a:r>
            <a:rPr lang="pl-PL" sz="1100" b="0" i="0" kern="1200">
              <a:latin typeface="Arial" pitchFamily="34" charset="0"/>
              <a:ea typeface="+mn-ea"/>
              <a:cs typeface="Arial" pitchFamily="34" charset="0"/>
            </a:rPr>
            <a:t>Procedura obowiązująca zarządzających składowiskami odpadów niebezpiecznych zawierających azbest.</a:t>
          </a:r>
        </a:p>
      </dsp:txBody>
      <dsp:txXfrm>
        <a:off x="350839" y="5002152"/>
        <a:ext cx="4312281" cy="692586"/>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181FD1E-08FA-488E-9FCC-9319D142F28E}">
      <dsp:nvSpPr>
        <dsp:cNvPr id="0" name=""/>
        <dsp:cNvSpPr/>
      </dsp:nvSpPr>
      <dsp:spPr>
        <a:xfrm>
          <a:off x="1715353" y="482387"/>
          <a:ext cx="363298" cy="91440"/>
        </a:xfrm>
        <a:custGeom>
          <a:avLst/>
          <a:gdLst/>
          <a:ahLst/>
          <a:cxnLst/>
          <a:rect l="0" t="0" r="0" b="0"/>
          <a:pathLst>
            <a:path>
              <a:moveTo>
                <a:pt x="0" y="45720"/>
              </a:moveTo>
              <a:lnTo>
                <a:pt x="363298" y="45720"/>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1887155" y="526138"/>
        <a:ext cx="19694" cy="3938"/>
      </dsp:txXfrm>
    </dsp:sp>
    <dsp:sp modelId="{EBA11BF1-986E-4536-98A8-364577EA7B9B}">
      <dsp:nvSpPr>
        <dsp:cNvPr id="0" name=""/>
        <dsp:cNvSpPr/>
      </dsp:nvSpPr>
      <dsp:spPr>
        <a:xfrm>
          <a:off x="4549" y="14326"/>
          <a:ext cx="1712604" cy="1027562"/>
        </a:xfrm>
        <a:prstGeom prst="rect">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pl-PL" sz="1000" kern="1200"/>
            <a:t>Przeprowadzenie inwentaryzacji wyrobów zawierających azbest.</a:t>
          </a:r>
        </a:p>
      </dsp:txBody>
      <dsp:txXfrm>
        <a:off x="4549" y="14326"/>
        <a:ext cx="1712604" cy="1027562"/>
      </dsp:txXfrm>
    </dsp:sp>
    <dsp:sp modelId="{27F3B7D1-5BB8-40A1-A160-A2A330879F9D}">
      <dsp:nvSpPr>
        <dsp:cNvPr id="0" name=""/>
        <dsp:cNvSpPr/>
      </dsp:nvSpPr>
      <dsp:spPr>
        <a:xfrm>
          <a:off x="3821857" y="482387"/>
          <a:ext cx="363298" cy="91440"/>
        </a:xfrm>
        <a:custGeom>
          <a:avLst/>
          <a:gdLst/>
          <a:ahLst/>
          <a:cxnLst/>
          <a:rect l="0" t="0" r="0" b="0"/>
          <a:pathLst>
            <a:path>
              <a:moveTo>
                <a:pt x="0" y="45720"/>
              </a:moveTo>
              <a:lnTo>
                <a:pt x="363298" y="45720"/>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3993659" y="526138"/>
        <a:ext cx="19694" cy="3938"/>
      </dsp:txXfrm>
    </dsp:sp>
    <dsp:sp modelId="{B3E79C7E-4A29-4263-B041-931FD0C9D871}">
      <dsp:nvSpPr>
        <dsp:cNvPr id="0" name=""/>
        <dsp:cNvSpPr/>
      </dsp:nvSpPr>
      <dsp:spPr>
        <a:xfrm>
          <a:off x="2111052" y="14326"/>
          <a:ext cx="1712604" cy="1027562"/>
        </a:xfrm>
        <a:prstGeom prst="rect">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pl-PL" sz="1000" kern="1200"/>
            <a:t>Sporządzenie „Oceny stanu i możliwości bezpiecznego użytkowania wyrobów zawierających azbest”.</a:t>
          </a:r>
        </a:p>
      </dsp:txBody>
      <dsp:txXfrm>
        <a:off x="2111052" y="14326"/>
        <a:ext cx="1712604" cy="1027562"/>
      </dsp:txXfrm>
    </dsp:sp>
    <dsp:sp modelId="{3919D872-B3A3-4EC0-86A5-1AAF43547F09}">
      <dsp:nvSpPr>
        <dsp:cNvPr id="0" name=""/>
        <dsp:cNvSpPr/>
      </dsp:nvSpPr>
      <dsp:spPr>
        <a:xfrm>
          <a:off x="856302" y="1040089"/>
          <a:ext cx="4217556" cy="363823"/>
        </a:xfrm>
        <a:custGeom>
          <a:avLst/>
          <a:gdLst/>
          <a:ahLst/>
          <a:cxnLst/>
          <a:rect l="0" t="0" r="0" b="0"/>
          <a:pathLst>
            <a:path>
              <a:moveTo>
                <a:pt x="4217556" y="0"/>
              </a:moveTo>
              <a:lnTo>
                <a:pt x="4217556" y="199011"/>
              </a:lnTo>
              <a:lnTo>
                <a:pt x="0" y="199011"/>
              </a:lnTo>
              <a:lnTo>
                <a:pt x="0" y="363823"/>
              </a:lnTo>
            </a:path>
          </a:pathLst>
        </a:custGeom>
        <a:noFill/>
        <a:ln w="9525" cap="flat" cmpd="sng" algn="ctr">
          <a:solidFill>
            <a:schemeClr val="accent4">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2859181" y="1220031"/>
        <a:ext cx="211797" cy="3938"/>
      </dsp:txXfrm>
    </dsp:sp>
    <dsp:sp modelId="{A7D1E759-8F10-4114-A25F-09B2988F608B}">
      <dsp:nvSpPr>
        <dsp:cNvPr id="0" name=""/>
        <dsp:cNvSpPr/>
      </dsp:nvSpPr>
      <dsp:spPr>
        <a:xfrm>
          <a:off x="4217556" y="14326"/>
          <a:ext cx="1712604" cy="1027562"/>
        </a:xfrm>
        <a:prstGeom prst="rect">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pl-PL" sz="1000" kern="1200"/>
            <a:t>Sporządzenie informacji dla wójta/burmistrza/prezydenta – osoby fizyczne, dla marszałka         – osoby prawne (corocznie do 31 stycznia br.)</a:t>
          </a:r>
        </a:p>
      </dsp:txBody>
      <dsp:txXfrm>
        <a:off x="4217556" y="14326"/>
        <a:ext cx="1712604" cy="1027562"/>
      </dsp:txXfrm>
    </dsp:sp>
    <dsp:sp modelId="{4EF84477-B111-4BAF-B40B-062184D3FD3F}">
      <dsp:nvSpPr>
        <dsp:cNvPr id="0" name=""/>
        <dsp:cNvSpPr/>
      </dsp:nvSpPr>
      <dsp:spPr>
        <a:xfrm>
          <a:off x="1710804" y="1903849"/>
          <a:ext cx="330924" cy="91440"/>
        </a:xfrm>
        <a:custGeom>
          <a:avLst/>
          <a:gdLst/>
          <a:ahLst/>
          <a:cxnLst/>
          <a:rect l="0" t="0" r="0" b="0"/>
          <a:pathLst>
            <a:path>
              <a:moveTo>
                <a:pt x="0" y="46244"/>
              </a:moveTo>
              <a:lnTo>
                <a:pt x="182562" y="46244"/>
              </a:lnTo>
              <a:lnTo>
                <a:pt x="182562" y="45720"/>
              </a:lnTo>
              <a:lnTo>
                <a:pt x="330924" y="45720"/>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1867228" y="1947600"/>
        <a:ext cx="18076" cy="3938"/>
      </dsp:txXfrm>
    </dsp:sp>
    <dsp:sp modelId="{4610F32A-E761-47E9-9B10-D57160F33225}">
      <dsp:nvSpPr>
        <dsp:cNvPr id="0" name=""/>
        <dsp:cNvSpPr/>
      </dsp:nvSpPr>
      <dsp:spPr>
        <a:xfrm>
          <a:off x="0" y="1436312"/>
          <a:ext cx="1712604" cy="1027562"/>
        </a:xfrm>
        <a:prstGeom prst="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pl-PL" sz="1000" kern="1200"/>
            <a:t>Oznakowanie pomieszczeń, gdzie znajdują się urządzenia lub instalacje z wyrobami zawierającymi azbest</a:t>
          </a:r>
        </a:p>
      </dsp:txBody>
      <dsp:txXfrm>
        <a:off x="0" y="1436312"/>
        <a:ext cx="1712604" cy="1027562"/>
      </dsp:txXfrm>
    </dsp:sp>
    <dsp:sp modelId="{FDA37DE8-22F6-4069-BD50-E96F17EC9924}">
      <dsp:nvSpPr>
        <dsp:cNvPr id="0" name=""/>
        <dsp:cNvSpPr/>
      </dsp:nvSpPr>
      <dsp:spPr>
        <a:xfrm>
          <a:off x="3784933" y="1903849"/>
          <a:ext cx="372529" cy="91440"/>
        </a:xfrm>
        <a:custGeom>
          <a:avLst/>
          <a:gdLst/>
          <a:ahLst/>
          <a:cxnLst/>
          <a:rect l="0" t="0" r="0" b="0"/>
          <a:pathLst>
            <a:path>
              <a:moveTo>
                <a:pt x="0" y="45720"/>
              </a:moveTo>
              <a:lnTo>
                <a:pt x="203364" y="45720"/>
              </a:lnTo>
              <a:lnTo>
                <a:pt x="203364" y="54947"/>
              </a:lnTo>
              <a:lnTo>
                <a:pt x="372529" y="54947"/>
              </a:lnTo>
            </a:path>
          </a:pathLst>
        </a:custGeom>
        <a:noFill/>
        <a:ln w="9525" cap="flat" cmpd="sng" algn="ctr">
          <a:solidFill>
            <a:schemeClr val="accent6">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3961117" y="1947600"/>
        <a:ext cx="20161" cy="3938"/>
      </dsp:txXfrm>
    </dsp:sp>
    <dsp:sp modelId="{CD0B5F03-FC55-43C6-B275-51F4EE9DB075}">
      <dsp:nvSpPr>
        <dsp:cNvPr id="0" name=""/>
        <dsp:cNvSpPr/>
      </dsp:nvSpPr>
      <dsp:spPr>
        <a:xfrm>
          <a:off x="2074129" y="1435788"/>
          <a:ext cx="1712604" cy="1027562"/>
        </a:xfrm>
        <a:prstGeom prst="rect">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pl-PL" sz="1000" kern="1200"/>
            <a:t>Opracowanie instrukcji bezpiecznego postępowania i użytkowania pomieszczenia z wyrobami zawierającymi azbest.</a:t>
          </a:r>
        </a:p>
      </dsp:txBody>
      <dsp:txXfrm>
        <a:off x="2074129" y="1435788"/>
        <a:ext cx="1712604" cy="1027562"/>
      </dsp:txXfrm>
    </dsp:sp>
    <dsp:sp modelId="{C57E41FA-3A54-4435-A6F4-E7C5AF1CDBAE}">
      <dsp:nvSpPr>
        <dsp:cNvPr id="0" name=""/>
        <dsp:cNvSpPr/>
      </dsp:nvSpPr>
      <dsp:spPr>
        <a:xfrm>
          <a:off x="856302" y="2470778"/>
          <a:ext cx="4189863" cy="357298"/>
        </a:xfrm>
        <a:custGeom>
          <a:avLst/>
          <a:gdLst/>
          <a:ahLst/>
          <a:cxnLst/>
          <a:rect l="0" t="0" r="0" b="0"/>
          <a:pathLst>
            <a:path>
              <a:moveTo>
                <a:pt x="4189863" y="0"/>
              </a:moveTo>
              <a:lnTo>
                <a:pt x="4189863" y="195749"/>
              </a:lnTo>
              <a:lnTo>
                <a:pt x="0" y="195749"/>
              </a:lnTo>
              <a:lnTo>
                <a:pt x="0" y="357298"/>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2846039" y="2647457"/>
        <a:ext cx="210389" cy="3938"/>
      </dsp:txXfrm>
    </dsp:sp>
    <dsp:sp modelId="{A3FA0BA8-8E5C-4FD4-A784-277CA6CE5AB5}">
      <dsp:nvSpPr>
        <dsp:cNvPr id="0" name=""/>
        <dsp:cNvSpPr/>
      </dsp:nvSpPr>
      <dsp:spPr>
        <a:xfrm>
          <a:off x="4189863" y="1445015"/>
          <a:ext cx="1712604" cy="1027562"/>
        </a:xfrm>
        <a:prstGeom prst="rect">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pl-PL" sz="1000" kern="1200"/>
            <a:t>Opracowanie corocznego planu kontroli jakości powietrza dla pomieszczeń zawierających azbest.</a:t>
          </a:r>
        </a:p>
      </dsp:txBody>
      <dsp:txXfrm>
        <a:off x="4189863" y="1445015"/>
        <a:ext cx="1712604" cy="1027562"/>
      </dsp:txXfrm>
    </dsp:sp>
    <dsp:sp modelId="{83613B03-E536-473F-8E09-CA86820DF02D}">
      <dsp:nvSpPr>
        <dsp:cNvPr id="0" name=""/>
        <dsp:cNvSpPr/>
      </dsp:nvSpPr>
      <dsp:spPr>
        <a:xfrm>
          <a:off x="0" y="2860476"/>
          <a:ext cx="1712604" cy="1027562"/>
        </a:xfrm>
        <a:prstGeom prst="rect">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pl-PL" sz="1000" kern="1200"/>
            <a:t>Zaznaczenie na planach sytuacyjnych terenu miejsc z wyrobami zawierającymi azbest.</a:t>
          </a:r>
        </a:p>
      </dsp:txBody>
      <dsp:txXfrm>
        <a:off x="0" y="2860476"/>
        <a:ext cx="1712604" cy="1027562"/>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181FD1E-08FA-488E-9FCC-9319D142F28E}">
      <dsp:nvSpPr>
        <dsp:cNvPr id="0" name=""/>
        <dsp:cNvSpPr/>
      </dsp:nvSpPr>
      <dsp:spPr>
        <a:xfrm>
          <a:off x="2711953" y="617742"/>
          <a:ext cx="476603" cy="91440"/>
        </a:xfrm>
        <a:custGeom>
          <a:avLst/>
          <a:gdLst/>
          <a:ahLst/>
          <a:cxnLst/>
          <a:rect l="0" t="0" r="0" b="0"/>
          <a:pathLst>
            <a:path>
              <a:moveTo>
                <a:pt x="0" y="45720"/>
              </a:moveTo>
              <a:lnTo>
                <a:pt x="476603" y="45720"/>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2937574" y="660926"/>
        <a:ext cx="25360" cy="5072"/>
      </dsp:txXfrm>
    </dsp:sp>
    <dsp:sp modelId="{EBA11BF1-986E-4536-98A8-364577EA7B9B}">
      <dsp:nvSpPr>
        <dsp:cNvPr id="0" name=""/>
        <dsp:cNvSpPr/>
      </dsp:nvSpPr>
      <dsp:spPr>
        <a:xfrm>
          <a:off x="508521" y="1893"/>
          <a:ext cx="2205231" cy="1323138"/>
        </a:xfrm>
        <a:prstGeom prst="rect">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pl-PL" sz="1000" kern="1200"/>
            <a:t>Podjęcie decyzji o usuwaniu wyrobów zawierających azbest.</a:t>
          </a:r>
        </a:p>
      </dsp:txBody>
      <dsp:txXfrm>
        <a:off x="508521" y="1893"/>
        <a:ext cx="2205231" cy="1323138"/>
      </dsp:txXfrm>
    </dsp:sp>
    <dsp:sp modelId="{27F3B7D1-5BB8-40A1-A160-A2A330879F9D}">
      <dsp:nvSpPr>
        <dsp:cNvPr id="0" name=""/>
        <dsp:cNvSpPr/>
      </dsp:nvSpPr>
      <dsp:spPr>
        <a:xfrm>
          <a:off x="1611137" y="1323232"/>
          <a:ext cx="2712434" cy="476603"/>
        </a:xfrm>
        <a:custGeom>
          <a:avLst/>
          <a:gdLst/>
          <a:ahLst/>
          <a:cxnLst/>
          <a:rect l="0" t="0" r="0" b="0"/>
          <a:pathLst>
            <a:path>
              <a:moveTo>
                <a:pt x="2712434" y="0"/>
              </a:moveTo>
              <a:lnTo>
                <a:pt x="2712434" y="255401"/>
              </a:lnTo>
              <a:lnTo>
                <a:pt x="0" y="255401"/>
              </a:lnTo>
              <a:lnTo>
                <a:pt x="0" y="476603"/>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2898368" y="1558997"/>
        <a:ext cx="137972" cy="5072"/>
      </dsp:txXfrm>
    </dsp:sp>
    <dsp:sp modelId="{B3E79C7E-4A29-4263-B041-931FD0C9D871}">
      <dsp:nvSpPr>
        <dsp:cNvPr id="0" name=""/>
        <dsp:cNvSpPr/>
      </dsp:nvSpPr>
      <dsp:spPr>
        <a:xfrm>
          <a:off x="3220956" y="1893"/>
          <a:ext cx="2205231" cy="1323138"/>
        </a:xfrm>
        <a:prstGeom prst="rect">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pl-PL" sz="1000" kern="1200"/>
            <a:t>Zgłoszenie właściwemu organowi architektoniczno - budowlanemu lub powiatowemu inspektorowi nadzoru budowlanego - na 30 dni przed rozpoczęciem prac zamiaru usuwania wyrobów, zawierających azbest w celu uzyskania stosownych pozwoleń wraz z określonymi warunkami.</a:t>
          </a:r>
        </a:p>
      </dsp:txBody>
      <dsp:txXfrm>
        <a:off x="3220956" y="1893"/>
        <a:ext cx="2205231" cy="1323138"/>
      </dsp:txXfrm>
    </dsp:sp>
    <dsp:sp modelId="{3919D872-B3A3-4EC0-86A5-1AAF43547F09}">
      <dsp:nvSpPr>
        <dsp:cNvPr id="0" name=""/>
        <dsp:cNvSpPr/>
      </dsp:nvSpPr>
      <dsp:spPr>
        <a:xfrm>
          <a:off x="2711953" y="2448085"/>
          <a:ext cx="391569" cy="91440"/>
        </a:xfrm>
        <a:custGeom>
          <a:avLst/>
          <a:gdLst/>
          <a:ahLst/>
          <a:cxnLst/>
          <a:rect l="0" t="0" r="0" b="0"/>
          <a:pathLst>
            <a:path>
              <a:moveTo>
                <a:pt x="0" y="45720"/>
              </a:moveTo>
              <a:lnTo>
                <a:pt x="212884" y="45720"/>
              </a:lnTo>
              <a:lnTo>
                <a:pt x="212884" y="46394"/>
              </a:lnTo>
              <a:lnTo>
                <a:pt x="391569" y="46394"/>
              </a:lnTo>
            </a:path>
          </a:pathLst>
        </a:custGeom>
        <a:noFill/>
        <a:ln w="9525" cap="flat" cmpd="sng" algn="ctr">
          <a:solidFill>
            <a:schemeClr val="accent4">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2897183" y="2491269"/>
        <a:ext cx="21108" cy="5072"/>
      </dsp:txXfrm>
    </dsp:sp>
    <dsp:sp modelId="{A7D1E759-8F10-4114-A25F-09B2988F608B}">
      <dsp:nvSpPr>
        <dsp:cNvPr id="0" name=""/>
        <dsp:cNvSpPr/>
      </dsp:nvSpPr>
      <dsp:spPr>
        <a:xfrm>
          <a:off x="508521" y="1832235"/>
          <a:ext cx="2205231" cy="1323138"/>
        </a:xfrm>
        <a:prstGeom prst="rect">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pl-PL" sz="1000" kern="1200"/>
            <a:t>Dokonanie wyboru wykonawcy prac (powinien posiadać przeszkolenie BHP w zakresie demontażu wyrobów zawierających azbest) i zawarcie umowy. Określenie obowiązków stron, również w zakresie zabezpieczenia przed emisją azbestu.</a:t>
          </a:r>
        </a:p>
      </dsp:txBody>
      <dsp:txXfrm>
        <a:off x="508521" y="1832235"/>
        <a:ext cx="2205231" cy="1323138"/>
      </dsp:txXfrm>
    </dsp:sp>
    <dsp:sp modelId="{4610F32A-E761-47E9-9B10-D57160F33225}">
      <dsp:nvSpPr>
        <dsp:cNvPr id="0" name=""/>
        <dsp:cNvSpPr/>
      </dsp:nvSpPr>
      <dsp:spPr>
        <a:xfrm>
          <a:off x="3135922" y="1832910"/>
          <a:ext cx="2205231" cy="1323138"/>
        </a:xfrm>
        <a:prstGeom prst="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pl-PL" sz="1000" kern="1200"/>
            <a:t>Poinformowanie mieszkanców, użytkowników obiektu o usuwaniu niebezpiecznych materiałów i sposobach ich zabezpieczenia.</a:t>
          </a:r>
        </a:p>
      </dsp:txBody>
      <dsp:txXfrm>
        <a:off x="3135922" y="1832910"/>
        <a:ext cx="2205231" cy="1323138"/>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181FD1E-08FA-488E-9FCC-9319D142F28E}">
      <dsp:nvSpPr>
        <dsp:cNvPr id="0" name=""/>
        <dsp:cNvSpPr/>
      </dsp:nvSpPr>
      <dsp:spPr>
        <a:xfrm>
          <a:off x="2460425" y="702600"/>
          <a:ext cx="387009" cy="91440"/>
        </a:xfrm>
        <a:custGeom>
          <a:avLst/>
          <a:gdLst/>
          <a:ahLst/>
          <a:cxnLst/>
          <a:rect l="0" t="0" r="0" b="0"/>
          <a:pathLst>
            <a:path>
              <a:moveTo>
                <a:pt x="0" y="45720"/>
              </a:moveTo>
              <a:lnTo>
                <a:pt x="387009" y="45720"/>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2643490" y="746230"/>
        <a:ext cx="20880" cy="4180"/>
      </dsp:txXfrm>
    </dsp:sp>
    <dsp:sp modelId="{EBA11BF1-986E-4536-98A8-364577EA7B9B}">
      <dsp:nvSpPr>
        <dsp:cNvPr id="0" name=""/>
        <dsp:cNvSpPr/>
      </dsp:nvSpPr>
      <dsp:spPr>
        <a:xfrm>
          <a:off x="40196" y="9662"/>
          <a:ext cx="2422028" cy="1477315"/>
        </a:xfrm>
        <a:prstGeom prst="rect">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pl-PL" sz="900" b="1" kern="1200"/>
            <a:t>Uzyskanie stosownych pozwoleń i zezwoleń o ile są wymagane.</a:t>
          </a:r>
          <a:r>
            <a:rPr lang="pl-PL" sz="900" kern="1200"/>
            <a:t>  </a:t>
          </a:r>
          <a:r>
            <a:rPr lang="pl-PL" sz="900" b="1" kern="1200"/>
            <a:t>Przeszkolenia przez uprawnioną instytucję zatrudnianych pracowników, osób kierujących lub nadzorujących prace polegające na zabezpieczaniu i usuwaniu wyrobów zawierających azbest w zakresie bezpieczeństwa i higieny pracy przy zabezpieczaniu i usuwaniu tych wyrobów oraz przestrzegania procedur dotyczących bezpiecznego postępowania.</a:t>
          </a:r>
          <a:endParaRPr lang="pl-PL" sz="900" kern="1200"/>
        </a:p>
      </dsp:txBody>
      <dsp:txXfrm>
        <a:off x="40196" y="9662"/>
        <a:ext cx="2422028" cy="1477315"/>
      </dsp:txXfrm>
    </dsp:sp>
    <dsp:sp modelId="{27F3B7D1-5BB8-40A1-A160-A2A330879F9D}">
      <dsp:nvSpPr>
        <dsp:cNvPr id="0" name=""/>
        <dsp:cNvSpPr/>
      </dsp:nvSpPr>
      <dsp:spPr>
        <a:xfrm>
          <a:off x="948044" y="1291229"/>
          <a:ext cx="2839638" cy="580958"/>
        </a:xfrm>
        <a:custGeom>
          <a:avLst/>
          <a:gdLst/>
          <a:ahLst/>
          <a:cxnLst/>
          <a:rect l="0" t="0" r="0" b="0"/>
          <a:pathLst>
            <a:path>
              <a:moveTo>
                <a:pt x="2839638" y="0"/>
              </a:moveTo>
              <a:lnTo>
                <a:pt x="2839638" y="307579"/>
              </a:lnTo>
              <a:lnTo>
                <a:pt x="0" y="307579"/>
              </a:lnTo>
              <a:lnTo>
                <a:pt x="0" y="580958"/>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2295245" y="1579618"/>
        <a:ext cx="145237" cy="4180"/>
      </dsp:txXfrm>
    </dsp:sp>
    <dsp:sp modelId="{B3E79C7E-4A29-4263-B041-931FD0C9D871}">
      <dsp:nvSpPr>
        <dsp:cNvPr id="0" name=""/>
        <dsp:cNvSpPr/>
      </dsp:nvSpPr>
      <dsp:spPr>
        <a:xfrm>
          <a:off x="2879835" y="203611"/>
          <a:ext cx="1815695" cy="1089417"/>
        </a:xfrm>
        <a:prstGeom prst="rect">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pl-PL" sz="1100" b="1" kern="1200"/>
            <a:t>Przejęcie zlecenia- zawarcia umowy na wykonanie prac usuwania wyrobów, zawierających azbest, wraz z oczyszczaniem miejsca prac z azbestem.</a:t>
          </a:r>
          <a:endParaRPr lang="pl-PL" sz="1100" kern="1200"/>
        </a:p>
      </dsp:txBody>
      <dsp:txXfrm>
        <a:off x="2879835" y="203611"/>
        <a:ext cx="1815695" cy="1089417"/>
      </dsp:txXfrm>
    </dsp:sp>
    <dsp:sp modelId="{3919D872-B3A3-4EC0-86A5-1AAF43547F09}">
      <dsp:nvSpPr>
        <dsp:cNvPr id="0" name=""/>
        <dsp:cNvSpPr/>
      </dsp:nvSpPr>
      <dsp:spPr>
        <a:xfrm>
          <a:off x="1854092" y="2403576"/>
          <a:ext cx="316996" cy="91440"/>
        </a:xfrm>
        <a:custGeom>
          <a:avLst/>
          <a:gdLst/>
          <a:ahLst/>
          <a:cxnLst/>
          <a:rect l="0" t="0" r="0" b="0"/>
          <a:pathLst>
            <a:path>
              <a:moveTo>
                <a:pt x="0" y="45720"/>
              </a:moveTo>
              <a:lnTo>
                <a:pt x="175598" y="45720"/>
              </a:lnTo>
              <a:lnTo>
                <a:pt x="175598" y="46275"/>
              </a:lnTo>
              <a:lnTo>
                <a:pt x="316996" y="46275"/>
              </a:lnTo>
            </a:path>
          </a:pathLst>
        </a:custGeom>
        <a:noFill/>
        <a:ln w="9525" cap="flat" cmpd="sng" algn="ctr">
          <a:solidFill>
            <a:schemeClr val="accent4">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2003900" y="2447206"/>
        <a:ext cx="17379" cy="4180"/>
      </dsp:txXfrm>
    </dsp:sp>
    <dsp:sp modelId="{A7D1E759-8F10-4114-A25F-09B2988F608B}">
      <dsp:nvSpPr>
        <dsp:cNvPr id="0" name=""/>
        <dsp:cNvSpPr/>
      </dsp:nvSpPr>
      <dsp:spPr>
        <a:xfrm>
          <a:off x="40196" y="1904587"/>
          <a:ext cx="1815695" cy="1089417"/>
        </a:xfrm>
        <a:prstGeom prst="rect">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pl-PL" sz="1100" b="1" kern="1200"/>
            <a:t>Określenie stanu środowiska przed przystąpieniem do prac, w tym strefy przyszłych prac.</a:t>
          </a:r>
          <a:endParaRPr lang="pl-PL" sz="1100" kern="1200"/>
        </a:p>
      </dsp:txBody>
      <dsp:txXfrm>
        <a:off x="40196" y="1904587"/>
        <a:ext cx="1815695" cy="1089417"/>
      </dsp:txXfrm>
    </dsp:sp>
    <dsp:sp modelId="{FDB34492-2D1A-4520-8349-3FD5D6145923}">
      <dsp:nvSpPr>
        <dsp:cNvPr id="0" name=""/>
        <dsp:cNvSpPr/>
      </dsp:nvSpPr>
      <dsp:spPr>
        <a:xfrm>
          <a:off x="4017384" y="2403576"/>
          <a:ext cx="457023" cy="91440"/>
        </a:xfrm>
        <a:custGeom>
          <a:avLst/>
          <a:gdLst/>
          <a:ahLst/>
          <a:cxnLst/>
          <a:rect l="0" t="0" r="0" b="0"/>
          <a:pathLst>
            <a:path>
              <a:moveTo>
                <a:pt x="0" y="46275"/>
              </a:moveTo>
              <a:lnTo>
                <a:pt x="245611" y="46275"/>
              </a:lnTo>
              <a:lnTo>
                <a:pt x="245611" y="45720"/>
              </a:lnTo>
              <a:lnTo>
                <a:pt x="457023" y="45720"/>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4233705" y="2447206"/>
        <a:ext cx="24381" cy="4180"/>
      </dsp:txXfrm>
    </dsp:sp>
    <dsp:sp modelId="{4610F32A-E761-47E9-9B10-D57160F33225}">
      <dsp:nvSpPr>
        <dsp:cNvPr id="0" name=""/>
        <dsp:cNvSpPr/>
      </dsp:nvSpPr>
      <dsp:spPr>
        <a:xfrm>
          <a:off x="2203488" y="1905143"/>
          <a:ext cx="1815695" cy="1089417"/>
        </a:xfrm>
        <a:prstGeom prst="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pl-PL" sz="1100" b="1" kern="1200"/>
            <a:t>Przygotowanie dokumentów ewidencji odpadów.</a:t>
          </a:r>
          <a:endParaRPr lang="pl-PL" sz="1100" kern="1200"/>
        </a:p>
      </dsp:txBody>
      <dsp:txXfrm>
        <a:off x="2203488" y="1905143"/>
        <a:ext cx="1815695" cy="1089417"/>
      </dsp:txXfrm>
    </dsp:sp>
    <dsp:sp modelId="{6F9440A1-7030-493F-A639-FE0615E77D15}">
      <dsp:nvSpPr>
        <dsp:cNvPr id="0" name=""/>
        <dsp:cNvSpPr/>
      </dsp:nvSpPr>
      <dsp:spPr>
        <a:xfrm>
          <a:off x="948044" y="2992205"/>
          <a:ext cx="4466611" cy="387009"/>
        </a:xfrm>
        <a:custGeom>
          <a:avLst/>
          <a:gdLst/>
          <a:ahLst/>
          <a:cxnLst/>
          <a:rect l="0" t="0" r="0" b="0"/>
          <a:pathLst>
            <a:path>
              <a:moveTo>
                <a:pt x="4466611" y="0"/>
              </a:moveTo>
              <a:lnTo>
                <a:pt x="4466611" y="210604"/>
              </a:lnTo>
              <a:lnTo>
                <a:pt x="0" y="210604"/>
              </a:lnTo>
              <a:lnTo>
                <a:pt x="0" y="387009"/>
              </a:lnTo>
            </a:path>
          </a:pathLst>
        </a:custGeom>
        <a:noFill/>
        <a:ln w="9525" cap="flat" cmpd="sng" algn="ctr">
          <a:solidFill>
            <a:schemeClr val="accent6">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3069197" y="3183620"/>
        <a:ext cx="224304" cy="4180"/>
      </dsp:txXfrm>
    </dsp:sp>
    <dsp:sp modelId="{6BAA4831-CB5F-41DD-8D1A-10986123DE23}">
      <dsp:nvSpPr>
        <dsp:cNvPr id="0" name=""/>
        <dsp:cNvSpPr/>
      </dsp:nvSpPr>
      <dsp:spPr>
        <a:xfrm>
          <a:off x="4506807" y="1904587"/>
          <a:ext cx="1815695" cy="1089417"/>
        </a:xfrm>
        <a:prstGeom prst="rect">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pl-PL" sz="1100" b="1" kern="1200"/>
            <a:t>Opracowanie planu prac.</a:t>
          </a:r>
          <a:endParaRPr lang="pl-PL" sz="1100" kern="1200"/>
        </a:p>
      </dsp:txBody>
      <dsp:txXfrm>
        <a:off x="4506807" y="1904587"/>
        <a:ext cx="1815695" cy="1089417"/>
      </dsp:txXfrm>
    </dsp:sp>
    <dsp:sp modelId="{725237AA-0124-4536-8D7B-52FBB1F5BC7A}">
      <dsp:nvSpPr>
        <dsp:cNvPr id="0" name=""/>
        <dsp:cNvSpPr/>
      </dsp:nvSpPr>
      <dsp:spPr>
        <a:xfrm>
          <a:off x="1854092" y="3910603"/>
          <a:ext cx="387009" cy="91440"/>
        </a:xfrm>
        <a:custGeom>
          <a:avLst/>
          <a:gdLst/>
          <a:ahLst/>
          <a:cxnLst/>
          <a:rect l="0" t="0" r="0" b="0"/>
          <a:pathLst>
            <a:path>
              <a:moveTo>
                <a:pt x="0" y="45720"/>
              </a:moveTo>
              <a:lnTo>
                <a:pt x="387009" y="45720"/>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2037156" y="3954233"/>
        <a:ext cx="20880" cy="4180"/>
      </dsp:txXfrm>
    </dsp:sp>
    <dsp:sp modelId="{E81F043A-D6B4-4185-8C33-AF5DDDB9B3FF}">
      <dsp:nvSpPr>
        <dsp:cNvPr id="0" name=""/>
        <dsp:cNvSpPr/>
      </dsp:nvSpPr>
      <dsp:spPr>
        <a:xfrm>
          <a:off x="40196" y="3411615"/>
          <a:ext cx="1815695" cy="1089417"/>
        </a:xfrm>
        <a:prstGeom prst="rect">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pl-PL" sz="1100" b="1" kern="1200"/>
            <a:t>Opracowanie planu bezpieczeństwa i ochrony zdrowia („BIOZ”)</a:t>
          </a:r>
          <a:endParaRPr lang="pl-PL" sz="1100" kern="1200"/>
        </a:p>
      </dsp:txBody>
      <dsp:txXfrm>
        <a:off x="40196" y="3411615"/>
        <a:ext cx="1815695" cy="1089417"/>
      </dsp:txXfrm>
    </dsp:sp>
    <dsp:sp modelId="{C0D17A1F-9EAB-4D12-817B-73219D8FDE16}">
      <dsp:nvSpPr>
        <dsp:cNvPr id="0" name=""/>
        <dsp:cNvSpPr/>
      </dsp:nvSpPr>
      <dsp:spPr>
        <a:xfrm>
          <a:off x="4087397" y="3910255"/>
          <a:ext cx="404585" cy="91440"/>
        </a:xfrm>
        <a:custGeom>
          <a:avLst/>
          <a:gdLst/>
          <a:ahLst/>
          <a:cxnLst/>
          <a:rect l="0" t="0" r="0" b="0"/>
          <a:pathLst>
            <a:path>
              <a:moveTo>
                <a:pt x="0" y="46068"/>
              </a:moveTo>
              <a:lnTo>
                <a:pt x="219392" y="46068"/>
              </a:lnTo>
              <a:lnTo>
                <a:pt x="219392" y="45720"/>
              </a:lnTo>
              <a:lnTo>
                <a:pt x="404585" y="45720"/>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4278811" y="3953885"/>
        <a:ext cx="21759" cy="4180"/>
      </dsp:txXfrm>
    </dsp:sp>
    <dsp:sp modelId="{F54D4DB2-3349-4F00-8B15-6591602A5E9C}">
      <dsp:nvSpPr>
        <dsp:cNvPr id="0" name=""/>
        <dsp:cNvSpPr/>
      </dsp:nvSpPr>
      <dsp:spPr>
        <a:xfrm>
          <a:off x="2273502" y="3411615"/>
          <a:ext cx="1815695" cy="1089417"/>
        </a:xfrm>
        <a:prstGeom prst="rect">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pl-PL" sz="1100" b="1" kern="1200"/>
            <a:t>Skompletowanie środków ochrony pracowników.</a:t>
          </a:r>
          <a:endParaRPr lang="pl-PL" sz="1100" kern="1200"/>
        </a:p>
      </dsp:txBody>
      <dsp:txXfrm>
        <a:off x="2273502" y="3411615"/>
        <a:ext cx="1815695" cy="1089417"/>
      </dsp:txXfrm>
    </dsp:sp>
    <dsp:sp modelId="{67754DB0-79EE-4FD0-AFF3-EC4D2F9BFDEA}">
      <dsp:nvSpPr>
        <dsp:cNvPr id="0" name=""/>
        <dsp:cNvSpPr/>
      </dsp:nvSpPr>
      <dsp:spPr>
        <a:xfrm>
          <a:off x="1049941" y="4498884"/>
          <a:ext cx="4382290" cy="387707"/>
        </a:xfrm>
        <a:custGeom>
          <a:avLst/>
          <a:gdLst/>
          <a:ahLst/>
          <a:cxnLst/>
          <a:rect l="0" t="0" r="0" b="0"/>
          <a:pathLst>
            <a:path>
              <a:moveTo>
                <a:pt x="4382290" y="0"/>
              </a:moveTo>
              <a:lnTo>
                <a:pt x="4382290" y="210953"/>
              </a:lnTo>
              <a:lnTo>
                <a:pt x="0" y="210953"/>
              </a:lnTo>
              <a:lnTo>
                <a:pt x="0" y="387707"/>
              </a:lnTo>
            </a:path>
          </a:pathLst>
        </a:custGeom>
        <a:noFill/>
        <a:ln w="9525" cap="flat" cmpd="sng" algn="ctr">
          <a:solidFill>
            <a:schemeClr val="accent4">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3131031" y="4690647"/>
        <a:ext cx="220110" cy="4180"/>
      </dsp:txXfrm>
    </dsp:sp>
    <dsp:sp modelId="{88DE9C6C-6D49-43CF-8385-A41F6FA671BB}">
      <dsp:nvSpPr>
        <dsp:cNvPr id="0" name=""/>
        <dsp:cNvSpPr/>
      </dsp:nvSpPr>
      <dsp:spPr>
        <a:xfrm>
          <a:off x="4524383" y="3411266"/>
          <a:ext cx="1815695" cy="1089417"/>
        </a:xfrm>
        <a:prstGeom prst="rect">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pl-PL" sz="1100" b="1" kern="1200"/>
            <a:t>Przygotowanie miejsca i wskazanie tymczasowego sposobu magazynowania odpadów.</a:t>
          </a:r>
          <a:endParaRPr lang="pl-PL" sz="1100" kern="1200"/>
        </a:p>
      </dsp:txBody>
      <dsp:txXfrm>
        <a:off x="4524383" y="3411266"/>
        <a:ext cx="1815695" cy="1089417"/>
      </dsp:txXfrm>
    </dsp:sp>
    <dsp:sp modelId="{3DC71C58-DDCE-4D62-A700-3BFE79F0DC82}">
      <dsp:nvSpPr>
        <dsp:cNvPr id="0" name=""/>
        <dsp:cNvSpPr/>
      </dsp:nvSpPr>
      <dsp:spPr>
        <a:xfrm>
          <a:off x="1955989" y="5417631"/>
          <a:ext cx="285113" cy="91440"/>
        </a:xfrm>
        <a:custGeom>
          <a:avLst/>
          <a:gdLst/>
          <a:ahLst/>
          <a:cxnLst/>
          <a:rect l="0" t="0" r="0" b="0"/>
          <a:pathLst>
            <a:path>
              <a:moveTo>
                <a:pt x="0" y="46068"/>
              </a:moveTo>
              <a:lnTo>
                <a:pt x="159656" y="46068"/>
              </a:lnTo>
              <a:lnTo>
                <a:pt x="159656" y="45720"/>
              </a:lnTo>
              <a:lnTo>
                <a:pt x="285113" y="45720"/>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2090652" y="5461261"/>
        <a:ext cx="15785" cy="4180"/>
      </dsp:txXfrm>
    </dsp:sp>
    <dsp:sp modelId="{8742F127-F384-4D8B-96AE-61E306EE3B88}">
      <dsp:nvSpPr>
        <dsp:cNvPr id="0" name=""/>
        <dsp:cNvSpPr/>
      </dsp:nvSpPr>
      <dsp:spPr>
        <a:xfrm>
          <a:off x="142093" y="4918991"/>
          <a:ext cx="1815695" cy="1089417"/>
        </a:xfrm>
        <a:prstGeom prst="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pl-PL" sz="1100" b="1" kern="1200"/>
            <a:t>Zawarcie porozumienia z zarządzającym składowiskiem odpowiednim dla odpadów zawierających azbest.</a:t>
          </a:r>
          <a:endParaRPr lang="pl-PL" sz="1100" kern="1200"/>
        </a:p>
      </dsp:txBody>
      <dsp:txXfrm>
        <a:off x="142093" y="4918991"/>
        <a:ext cx="1815695" cy="1089417"/>
      </dsp:txXfrm>
    </dsp:sp>
    <dsp:sp modelId="{7DE1EED2-803A-4C9D-8EC1-5BB8738BFF1F}">
      <dsp:nvSpPr>
        <dsp:cNvPr id="0" name=""/>
        <dsp:cNvSpPr/>
      </dsp:nvSpPr>
      <dsp:spPr>
        <a:xfrm>
          <a:off x="4087397" y="5417631"/>
          <a:ext cx="295553" cy="91440"/>
        </a:xfrm>
        <a:custGeom>
          <a:avLst/>
          <a:gdLst/>
          <a:ahLst/>
          <a:cxnLst/>
          <a:rect l="0" t="0" r="0" b="0"/>
          <a:pathLst>
            <a:path>
              <a:moveTo>
                <a:pt x="0" y="45720"/>
              </a:moveTo>
              <a:lnTo>
                <a:pt x="295553" y="45720"/>
              </a:lnTo>
            </a:path>
          </a:pathLst>
        </a:custGeom>
        <a:noFill/>
        <a:ln w="9525" cap="flat" cmpd="sng" algn="ctr">
          <a:solidFill>
            <a:schemeClr val="accent6">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4227020" y="5461261"/>
        <a:ext cx="16307" cy="4180"/>
      </dsp:txXfrm>
    </dsp:sp>
    <dsp:sp modelId="{AE06BB4B-262E-4478-9F4F-265D572ACAB8}">
      <dsp:nvSpPr>
        <dsp:cNvPr id="0" name=""/>
        <dsp:cNvSpPr/>
      </dsp:nvSpPr>
      <dsp:spPr>
        <a:xfrm>
          <a:off x="2273502" y="4918642"/>
          <a:ext cx="1815695" cy="1089417"/>
        </a:xfrm>
        <a:prstGeom prst="rect">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pl-PL" sz="1100" b="1" kern="1200"/>
            <a:t>Przygotowanie rejestru pracowników narażonych na działanie azbestu.</a:t>
          </a:r>
          <a:endParaRPr lang="pl-PL" sz="1100" kern="1200"/>
        </a:p>
      </dsp:txBody>
      <dsp:txXfrm>
        <a:off x="2273502" y="4918642"/>
        <a:ext cx="1815695" cy="1089417"/>
      </dsp:txXfrm>
    </dsp:sp>
    <dsp:sp modelId="{55EB97E7-F975-4624-B1D3-EE0EE045AB7D}">
      <dsp:nvSpPr>
        <dsp:cNvPr id="0" name=""/>
        <dsp:cNvSpPr/>
      </dsp:nvSpPr>
      <dsp:spPr>
        <a:xfrm>
          <a:off x="948044" y="6006259"/>
          <a:ext cx="4375154" cy="387009"/>
        </a:xfrm>
        <a:custGeom>
          <a:avLst/>
          <a:gdLst/>
          <a:ahLst/>
          <a:cxnLst/>
          <a:rect l="0" t="0" r="0" b="0"/>
          <a:pathLst>
            <a:path>
              <a:moveTo>
                <a:pt x="4375154" y="0"/>
              </a:moveTo>
              <a:lnTo>
                <a:pt x="4375154" y="210604"/>
              </a:lnTo>
              <a:lnTo>
                <a:pt x="0" y="210604"/>
              </a:lnTo>
              <a:lnTo>
                <a:pt x="0" y="387009"/>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3025745" y="6197674"/>
        <a:ext cx="219751" cy="4180"/>
      </dsp:txXfrm>
    </dsp:sp>
    <dsp:sp modelId="{542867BD-242A-4C21-B9FB-B1293AC61993}">
      <dsp:nvSpPr>
        <dsp:cNvPr id="0" name=""/>
        <dsp:cNvSpPr/>
      </dsp:nvSpPr>
      <dsp:spPr>
        <a:xfrm>
          <a:off x="4415351" y="4918642"/>
          <a:ext cx="1815695" cy="1089417"/>
        </a:xfrm>
        <a:prstGeom prst="rect">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pl-PL" sz="1100" b="1" kern="1200"/>
            <a:t>Skompletowanie wyposażenia technicznego</a:t>
          </a:r>
          <a:endParaRPr lang="pl-PL" sz="1100" kern="1200"/>
        </a:p>
      </dsp:txBody>
      <dsp:txXfrm>
        <a:off x="4415351" y="4918642"/>
        <a:ext cx="1815695" cy="1089417"/>
      </dsp:txXfrm>
    </dsp:sp>
    <dsp:sp modelId="{891873A5-9A30-40C8-92C2-DBC5CC024CD2}">
      <dsp:nvSpPr>
        <dsp:cNvPr id="0" name=""/>
        <dsp:cNvSpPr/>
      </dsp:nvSpPr>
      <dsp:spPr>
        <a:xfrm>
          <a:off x="1854092" y="6914755"/>
          <a:ext cx="387009" cy="91440"/>
        </a:xfrm>
        <a:custGeom>
          <a:avLst/>
          <a:gdLst/>
          <a:ahLst/>
          <a:cxnLst/>
          <a:rect l="0" t="0" r="0" b="0"/>
          <a:pathLst>
            <a:path>
              <a:moveTo>
                <a:pt x="0" y="55622"/>
              </a:moveTo>
              <a:lnTo>
                <a:pt x="210604" y="55622"/>
              </a:lnTo>
              <a:lnTo>
                <a:pt x="210604" y="45720"/>
              </a:lnTo>
              <a:lnTo>
                <a:pt x="387009" y="45720"/>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pl-PL" sz="500" kern="1200"/>
        </a:p>
      </dsp:txBody>
      <dsp:txXfrm>
        <a:off x="2037154" y="6958385"/>
        <a:ext cx="20886" cy="4180"/>
      </dsp:txXfrm>
    </dsp:sp>
    <dsp:sp modelId="{889388C0-FBDB-48D4-9C8F-4923ED45E189}">
      <dsp:nvSpPr>
        <dsp:cNvPr id="0" name=""/>
        <dsp:cNvSpPr/>
      </dsp:nvSpPr>
      <dsp:spPr>
        <a:xfrm>
          <a:off x="40196" y="6425669"/>
          <a:ext cx="1815695" cy="1089417"/>
        </a:xfrm>
        <a:prstGeom prst="rect">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pl-PL" sz="1100" b="1" kern="1200"/>
            <a:t>Organizacja zaplecza socjalnego i bhp.</a:t>
          </a:r>
          <a:endParaRPr lang="pl-PL" sz="1100" kern="1200"/>
        </a:p>
      </dsp:txBody>
      <dsp:txXfrm>
        <a:off x="40196" y="6425669"/>
        <a:ext cx="1815695" cy="1089417"/>
      </dsp:txXfrm>
    </dsp:sp>
    <dsp:sp modelId="{41B517D4-BF93-4BC9-953F-C130DA067DBB}">
      <dsp:nvSpPr>
        <dsp:cNvPr id="0" name=""/>
        <dsp:cNvSpPr/>
      </dsp:nvSpPr>
      <dsp:spPr>
        <a:xfrm>
          <a:off x="2273502" y="6415767"/>
          <a:ext cx="1815695" cy="1089417"/>
        </a:xfrm>
        <a:prstGeom prst="rect">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88950">
            <a:lnSpc>
              <a:spcPct val="90000"/>
            </a:lnSpc>
            <a:spcBef>
              <a:spcPct val="0"/>
            </a:spcBef>
            <a:spcAft>
              <a:spcPct val="35000"/>
            </a:spcAft>
            <a:buNone/>
          </a:pPr>
          <a:r>
            <a:rPr lang="pl-PL" sz="1100" b="1" kern="1200"/>
            <a:t>Zawarcie umowy z laboratorium o prowadzenie monitoringu powietrza.</a:t>
          </a:r>
          <a:endParaRPr lang="pl-PL" sz="1100" kern="1200"/>
        </a:p>
      </dsp:txBody>
      <dsp:txXfrm>
        <a:off x="2273502" y="6415767"/>
        <a:ext cx="1815695" cy="1089417"/>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181FD1E-08FA-488E-9FCC-9319D142F28E}">
      <dsp:nvSpPr>
        <dsp:cNvPr id="0" name=""/>
        <dsp:cNvSpPr/>
      </dsp:nvSpPr>
      <dsp:spPr>
        <a:xfrm>
          <a:off x="1877283" y="426857"/>
          <a:ext cx="327285" cy="91440"/>
        </a:xfrm>
        <a:custGeom>
          <a:avLst/>
          <a:gdLst/>
          <a:ahLst/>
          <a:cxnLst/>
          <a:rect l="0" t="0" r="0" b="0"/>
          <a:pathLst>
            <a:path>
              <a:moveTo>
                <a:pt x="0" y="45720"/>
              </a:moveTo>
              <a:lnTo>
                <a:pt x="327285" y="45720"/>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2031979" y="470786"/>
        <a:ext cx="17894" cy="3582"/>
      </dsp:txXfrm>
    </dsp:sp>
    <dsp:sp modelId="{EBA11BF1-986E-4536-98A8-364577EA7B9B}">
      <dsp:nvSpPr>
        <dsp:cNvPr id="0" name=""/>
        <dsp:cNvSpPr/>
      </dsp:nvSpPr>
      <dsp:spPr>
        <a:xfrm>
          <a:off x="323061" y="5770"/>
          <a:ext cx="1556022" cy="933613"/>
        </a:xfrm>
        <a:prstGeom prst="rect">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kern="1200"/>
            <a:t>Zabezpieczenie obiektu i terenu prac.</a:t>
          </a:r>
        </a:p>
      </dsp:txBody>
      <dsp:txXfrm>
        <a:off x="323061" y="5770"/>
        <a:ext cx="1556022" cy="933613"/>
      </dsp:txXfrm>
    </dsp:sp>
    <dsp:sp modelId="{27F3B7D1-5BB8-40A1-A160-A2A330879F9D}">
      <dsp:nvSpPr>
        <dsp:cNvPr id="0" name=""/>
        <dsp:cNvSpPr/>
      </dsp:nvSpPr>
      <dsp:spPr>
        <a:xfrm>
          <a:off x="3791191" y="426857"/>
          <a:ext cx="327285" cy="91440"/>
        </a:xfrm>
        <a:custGeom>
          <a:avLst/>
          <a:gdLst/>
          <a:ahLst/>
          <a:cxnLst/>
          <a:rect l="0" t="0" r="0" b="0"/>
          <a:pathLst>
            <a:path>
              <a:moveTo>
                <a:pt x="0" y="45720"/>
              </a:moveTo>
              <a:lnTo>
                <a:pt x="327285" y="45720"/>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3945886" y="470786"/>
        <a:ext cx="17894" cy="3582"/>
      </dsp:txXfrm>
    </dsp:sp>
    <dsp:sp modelId="{B3E79C7E-4A29-4263-B041-931FD0C9D871}">
      <dsp:nvSpPr>
        <dsp:cNvPr id="0" name=""/>
        <dsp:cNvSpPr/>
      </dsp:nvSpPr>
      <dsp:spPr>
        <a:xfrm>
          <a:off x="2236968" y="5770"/>
          <a:ext cx="1556022" cy="933613"/>
        </a:xfrm>
        <a:prstGeom prst="rect">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kern="1200"/>
            <a:t>Izolowanie miejsca pracy.</a:t>
          </a:r>
        </a:p>
      </dsp:txBody>
      <dsp:txXfrm>
        <a:off x="2236968" y="5770"/>
        <a:ext cx="1556022" cy="933613"/>
      </dsp:txXfrm>
    </dsp:sp>
    <dsp:sp modelId="{3919D872-B3A3-4EC0-86A5-1AAF43547F09}">
      <dsp:nvSpPr>
        <dsp:cNvPr id="0" name=""/>
        <dsp:cNvSpPr/>
      </dsp:nvSpPr>
      <dsp:spPr>
        <a:xfrm>
          <a:off x="1041072" y="937583"/>
          <a:ext cx="3887815" cy="327761"/>
        </a:xfrm>
        <a:custGeom>
          <a:avLst/>
          <a:gdLst/>
          <a:ahLst/>
          <a:cxnLst/>
          <a:rect l="0" t="0" r="0" b="0"/>
          <a:pathLst>
            <a:path>
              <a:moveTo>
                <a:pt x="3887815" y="0"/>
              </a:moveTo>
              <a:lnTo>
                <a:pt x="3887815" y="180980"/>
              </a:lnTo>
              <a:lnTo>
                <a:pt x="0" y="180980"/>
              </a:lnTo>
              <a:lnTo>
                <a:pt x="0" y="327761"/>
              </a:lnTo>
            </a:path>
          </a:pathLst>
        </a:custGeom>
        <a:noFill/>
        <a:ln w="9525" cap="flat" cmpd="sng" algn="ctr">
          <a:solidFill>
            <a:schemeClr val="accent4">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2887372" y="1099673"/>
        <a:ext cx="195214" cy="3582"/>
      </dsp:txXfrm>
    </dsp:sp>
    <dsp:sp modelId="{A7D1E759-8F10-4114-A25F-09B2988F608B}">
      <dsp:nvSpPr>
        <dsp:cNvPr id="0" name=""/>
        <dsp:cNvSpPr/>
      </dsp:nvSpPr>
      <dsp:spPr>
        <a:xfrm>
          <a:off x="4150876" y="5770"/>
          <a:ext cx="1556022" cy="933613"/>
        </a:xfrm>
        <a:prstGeom prst="rect">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b="0" kern="1200"/>
            <a:t>Demontaż  odpadów zawierających azbest.</a:t>
          </a:r>
        </a:p>
      </dsp:txBody>
      <dsp:txXfrm>
        <a:off x="4150876" y="5770"/>
        <a:ext cx="1556022" cy="933613"/>
      </dsp:txXfrm>
    </dsp:sp>
    <dsp:sp modelId="{FDB34492-2D1A-4520-8349-3FD5D6145923}">
      <dsp:nvSpPr>
        <dsp:cNvPr id="0" name=""/>
        <dsp:cNvSpPr/>
      </dsp:nvSpPr>
      <dsp:spPr>
        <a:xfrm>
          <a:off x="1817283" y="1718355"/>
          <a:ext cx="387285" cy="91440"/>
        </a:xfrm>
        <a:custGeom>
          <a:avLst/>
          <a:gdLst/>
          <a:ahLst/>
          <a:cxnLst/>
          <a:rect l="0" t="0" r="0" b="0"/>
          <a:pathLst>
            <a:path>
              <a:moveTo>
                <a:pt x="0" y="46196"/>
              </a:moveTo>
              <a:lnTo>
                <a:pt x="210742" y="46196"/>
              </a:lnTo>
              <a:lnTo>
                <a:pt x="210742" y="45720"/>
              </a:lnTo>
              <a:lnTo>
                <a:pt x="387285" y="45720"/>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2000479" y="1762284"/>
        <a:ext cx="20894" cy="3582"/>
      </dsp:txXfrm>
    </dsp:sp>
    <dsp:sp modelId="{4610F32A-E761-47E9-9B10-D57160F33225}">
      <dsp:nvSpPr>
        <dsp:cNvPr id="0" name=""/>
        <dsp:cNvSpPr/>
      </dsp:nvSpPr>
      <dsp:spPr>
        <a:xfrm>
          <a:off x="263061" y="1297745"/>
          <a:ext cx="1556022" cy="933613"/>
        </a:xfrm>
        <a:prstGeom prst="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b="0" kern="1200">
              <a:latin typeface="+mn-lt"/>
            </a:rPr>
            <a:t>Pakowanie odpadów.</a:t>
          </a:r>
        </a:p>
      </dsp:txBody>
      <dsp:txXfrm>
        <a:off x="263061" y="1297745"/>
        <a:ext cx="1556022" cy="933613"/>
      </dsp:txXfrm>
    </dsp:sp>
    <dsp:sp modelId="{6F9440A1-7030-493F-A639-FE0615E77D15}">
      <dsp:nvSpPr>
        <dsp:cNvPr id="0" name=""/>
        <dsp:cNvSpPr/>
      </dsp:nvSpPr>
      <dsp:spPr>
        <a:xfrm>
          <a:off x="3791191" y="1718355"/>
          <a:ext cx="327285" cy="91440"/>
        </a:xfrm>
        <a:custGeom>
          <a:avLst/>
          <a:gdLst/>
          <a:ahLst/>
          <a:cxnLst/>
          <a:rect l="0" t="0" r="0" b="0"/>
          <a:pathLst>
            <a:path>
              <a:moveTo>
                <a:pt x="0" y="45720"/>
              </a:moveTo>
              <a:lnTo>
                <a:pt x="327285" y="45720"/>
              </a:lnTo>
            </a:path>
          </a:pathLst>
        </a:custGeom>
        <a:noFill/>
        <a:ln w="9525" cap="flat" cmpd="sng" algn="ctr">
          <a:solidFill>
            <a:schemeClr val="accent6">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3945886" y="1762284"/>
        <a:ext cx="17894" cy="3582"/>
      </dsp:txXfrm>
    </dsp:sp>
    <dsp:sp modelId="{6BAA4831-CB5F-41DD-8D1A-10986123DE23}">
      <dsp:nvSpPr>
        <dsp:cNvPr id="0" name=""/>
        <dsp:cNvSpPr/>
      </dsp:nvSpPr>
      <dsp:spPr>
        <a:xfrm>
          <a:off x="2236968" y="1297269"/>
          <a:ext cx="1556022" cy="933613"/>
        </a:xfrm>
        <a:prstGeom prst="rect">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b="0" kern="1200"/>
            <a:t>Oznakowanie odpadów.</a:t>
          </a:r>
        </a:p>
      </dsp:txBody>
      <dsp:txXfrm>
        <a:off x="2236968" y="1297269"/>
        <a:ext cx="1556022" cy="933613"/>
      </dsp:txXfrm>
    </dsp:sp>
    <dsp:sp modelId="{725237AA-0124-4536-8D7B-52FBB1F5BC7A}">
      <dsp:nvSpPr>
        <dsp:cNvPr id="0" name=""/>
        <dsp:cNvSpPr/>
      </dsp:nvSpPr>
      <dsp:spPr>
        <a:xfrm>
          <a:off x="1101072" y="2229082"/>
          <a:ext cx="3827814" cy="327285"/>
        </a:xfrm>
        <a:custGeom>
          <a:avLst/>
          <a:gdLst/>
          <a:ahLst/>
          <a:cxnLst/>
          <a:rect l="0" t="0" r="0" b="0"/>
          <a:pathLst>
            <a:path>
              <a:moveTo>
                <a:pt x="3827814" y="0"/>
              </a:moveTo>
              <a:lnTo>
                <a:pt x="3827814" y="180742"/>
              </a:lnTo>
              <a:lnTo>
                <a:pt x="0" y="180742"/>
              </a:lnTo>
              <a:lnTo>
                <a:pt x="0" y="327285"/>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2918867" y="2390933"/>
        <a:ext cx="192225" cy="3582"/>
      </dsp:txXfrm>
    </dsp:sp>
    <dsp:sp modelId="{E81F043A-D6B4-4185-8C33-AF5DDDB9B3FF}">
      <dsp:nvSpPr>
        <dsp:cNvPr id="0" name=""/>
        <dsp:cNvSpPr/>
      </dsp:nvSpPr>
      <dsp:spPr>
        <a:xfrm>
          <a:off x="4150876" y="1297269"/>
          <a:ext cx="1556022" cy="933613"/>
        </a:xfrm>
        <a:prstGeom prst="rect">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b="0" kern="1200"/>
            <a:t>Wystawienie dokumentów ewidencji odpadów.</a:t>
          </a:r>
        </a:p>
      </dsp:txBody>
      <dsp:txXfrm>
        <a:off x="4150876" y="1297269"/>
        <a:ext cx="1556022" cy="933613"/>
      </dsp:txXfrm>
    </dsp:sp>
    <dsp:sp modelId="{C0D17A1F-9EAB-4D12-817B-73219D8FDE16}">
      <dsp:nvSpPr>
        <dsp:cNvPr id="0" name=""/>
        <dsp:cNvSpPr/>
      </dsp:nvSpPr>
      <dsp:spPr>
        <a:xfrm>
          <a:off x="1877283" y="3009555"/>
          <a:ext cx="342347" cy="91440"/>
        </a:xfrm>
        <a:custGeom>
          <a:avLst/>
          <a:gdLst/>
          <a:ahLst/>
          <a:cxnLst/>
          <a:rect l="0" t="0" r="0" b="0"/>
          <a:pathLst>
            <a:path>
              <a:moveTo>
                <a:pt x="0" y="46018"/>
              </a:moveTo>
              <a:lnTo>
                <a:pt x="188273" y="46018"/>
              </a:lnTo>
              <a:lnTo>
                <a:pt x="188273" y="45720"/>
              </a:lnTo>
              <a:lnTo>
                <a:pt x="342347" y="45720"/>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2039133" y="3053484"/>
        <a:ext cx="18647" cy="3582"/>
      </dsp:txXfrm>
    </dsp:sp>
    <dsp:sp modelId="{F54D4DB2-3349-4F00-8B15-6591602A5E9C}">
      <dsp:nvSpPr>
        <dsp:cNvPr id="0" name=""/>
        <dsp:cNvSpPr/>
      </dsp:nvSpPr>
      <dsp:spPr>
        <a:xfrm>
          <a:off x="323061" y="2588767"/>
          <a:ext cx="1556022" cy="933613"/>
        </a:xfrm>
        <a:prstGeom prst="rect">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b="0" kern="1200"/>
            <a:t>Karta ewidencji odpadów/ Karta przekazania odpadów.</a:t>
          </a:r>
        </a:p>
      </dsp:txBody>
      <dsp:txXfrm>
        <a:off x="323061" y="2588767"/>
        <a:ext cx="1556022" cy="933613"/>
      </dsp:txXfrm>
    </dsp:sp>
    <dsp:sp modelId="{67754DB0-79EE-4FD0-AFF3-EC4D2F9BFDEA}">
      <dsp:nvSpPr>
        <dsp:cNvPr id="0" name=""/>
        <dsp:cNvSpPr/>
      </dsp:nvSpPr>
      <dsp:spPr>
        <a:xfrm>
          <a:off x="3806253" y="3009555"/>
          <a:ext cx="399546" cy="91440"/>
        </a:xfrm>
        <a:custGeom>
          <a:avLst/>
          <a:gdLst/>
          <a:ahLst/>
          <a:cxnLst/>
          <a:rect l="0" t="0" r="0" b="0"/>
          <a:pathLst>
            <a:path>
              <a:moveTo>
                <a:pt x="0" y="45720"/>
              </a:moveTo>
              <a:lnTo>
                <a:pt x="216873" y="45720"/>
              </a:lnTo>
              <a:lnTo>
                <a:pt x="216873" y="46317"/>
              </a:lnTo>
              <a:lnTo>
                <a:pt x="399546" y="46317"/>
              </a:lnTo>
            </a:path>
          </a:pathLst>
        </a:custGeom>
        <a:noFill/>
        <a:ln w="9525" cap="flat" cmpd="sng" algn="ctr">
          <a:solidFill>
            <a:schemeClr val="accent4">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3995273" y="3053484"/>
        <a:ext cx="21507" cy="3582"/>
      </dsp:txXfrm>
    </dsp:sp>
    <dsp:sp modelId="{88DE9C6C-6D49-43CF-8385-A41F6FA671BB}">
      <dsp:nvSpPr>
        <dsp:cNvPr id="0" name=""/>
        <dsp:cNvSpPr/>
      </dsp:nvSpPr>
      <dsp:spPr>
        <a:xfrm>
          <a:off x="2252031" y="2588468"/>
          <a:ext cx="1556022" cy="933613"/>
        </a:xfrm>
        <a:prstGeom prst="rect">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b="0" kern="1200"/>
            <a:t>Przygotowanie odpadów do transportu i przekazania</a:t>
          </a:r>
          <a:r>
            <a:rPr lang="pl-PL" sz="1050" b="1" kern="1200"/>
            <a:t>.</a:t>
          </a:r>
          <a:endParaRPr lang="pl-PL" sz="1050" kern="1200"/>
        </a:p>
      </dsp:txBody>
      <dsp:txXfrm>
        <a:off x="2252031" y="2588468"/>
        <a:ext cx="1556022" cy="933613"/>
      </dsp:txXfrm>
    </dsp:sp>
    <dsp:sp modelId="{3DC71C58-DDCE-4D62-A700-3BFE79F0DC82}">
      <dsp:nvSpPr>
        <dsp:cNvPr id="0" name=""/>
        <dsp:cNvSpPr/>
      </dsp:nvSpPr>
      <dsp:spPr>
        <a:xfrm>
          <a:off x="1101072" y="3520879"/>
          <a:ext cx="3915138" cy="326986"/>
        </a:xfrm>
        <a:custGeom>
          <a:avLst/>
          <a:gdLst/>
          <a:ahLst/>
          <a:cxnLst/>
          <a:rect l="0" t="0" r="0" b="0"/>
          <a:pathLst>
            <a:path>
              <a:moveTo>
                <a:pt x="3915138" y="0"/>
              </a:moveTo>
              <a:lnTo>
                <a:pt x="3915138" y="180593"/>
              </a:lnTo>
              <a:lnTo>
                <a:pt x="0" y="180593"/>
              </a:lnTo>
              <a:lnTo>
                <a:pt x="0" y="326986"/>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66725">
            <a:lnSpc>
              <a:spcPct val="90000"/>
            </a:lnSpc>
            <a:spcBef>
              <a:spcPct val="0"/>
            </a:spcBef>
            <a:spcAft>
              <a:spcPct val="35000"/>
            </a:spcAft>
            <a:buNone/>
          </a:pPr>
          <a:endParaRPr lang="pl-PL" sz="1050" kern="1200"/>
        </a:p>
      </dsp:txBody>
      <dsp:txXfrm>
        <a:off x="2960356" y="3682581"/>
        <a:ext cx="196571" cy="3582"/>
      </dsp:txXfrm>
    </dsp:sp>
    <dsp:sp modelId="{8742F127-F384-4D8B-96AE-61E306EE3B88}">
      <dsp:nvSpPr>
        <dsp:cNvPr id="0" name=""/>
        <dsp:cNvSpPr/>
      </dsp:nvSpPr>
      <dsp:spPr>
        <a:xfrm>
          <a:off x="4238200" y="2589066"/>
          <a:ext cx="1556022" cy="933613"/>
        </a:xfrm>
        <a:prstGeom prst="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b="0" kern="1200"/>
            <a:t>Oczyszczenie pola prac i otoczenia terenu robót z pozostałości azbestu.</a:t>
          </a:r>
        </a:p>
      </dsp:txBody>
      <dsp:txXfrm>
        <a:off x="4238200" y="2589066"/>
        <a:ext cx="1556022" cy="933613"/>
      </dsp:txXfrm>
    </dsp:sp>
    <dsp:sp modelId="{AE06BB4B-262E-4478-9F4F-265D572ACAB8}">
      <dsp:nvSpPr>
        <dsp:cNvPr id="0" name=""/>
        <dsp:cNvSpPr/>
      </dsp:nvSpPr>
      <dsp:spPr>
        <a:xfrm>
          <a:off x="323061" y="3880266"/>
          <a:ext cx="1556022" cy="933613"/>
        </a:xfrm>
        <a:prstGeom prst="rect">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8232" tIns="78232" rIns="78232" bIns="78232" numCol="1" spcCol="1270" anchor="ctr" anchorCtr="0">
          <a:noAutofit/>
        </a:bodyPr>
        <a:lstStyle/>
        <a:p>
          <a:pPr marL="0" lvl="0" indent="0" algn="ctr" defTabSz="466725">
            <a:lnSpc>
              <a:spcPct val="90000"/>
            </a:lnSpc>
            <a:spcBef>
              <a:spcPct val="0"/>
            </a:spcBef>
            <a:spcAft>
              <a:spcPct val="35000"/>
            </a:spcAft>
            <a:buNone/>
          </a:pPr>
          <a:r>
            <a:rPr lang="pl-PL" sz="1050" b="0" kern="1200"/>
            <a:t>Przedstawienie dokumentów  stwierdzających prawidłowe wykonanie prac i oczyszczenia z azbestu.</a:t>
          </a:r>
        </a:p>
      </dsp:txBody>
      <dsp:txXfrm>
        <a:off x="323061" y="3880266"/>
        <a:ext cx="1556022" cy="933613"/>
      </dsp:txXfrm>
    </dsp:sp>
  </dsp:spTree>
</dsp:drawing>
</file>

<file path=word/diagrams/layout10.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quickStyle10.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F024D1-15E3-4211-ABAE-7155100BBE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Application>LibreOffice/6.1.0.3$Windows_x86 LibreOffice_project/efb621ed25068d70781dc026f7e9c5187a4decd1</Application>
  <Pages>88</Pages>
  <Words>18728</Words>
  <Characters>124378</Characters>
  <CharactersWithSpaces>142630</CharactersWithSpaces>
  <Paragraphs>1057</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2019-09-25T08:07:00Z</dcterms:created>
  <dc:creator>EKOSCAN  INNOWACJA I ROZWÓJ ŚRODOWISKA I ENERGETYKI</dc:creator>
  <dc:description/>
  <cp:keywords>600243782</cp:keywords>
  <dc:language>pl-PL</dc:language>
  <cp:lastModifiedBy/>
  <cp:lastPrinted>2019-12-09T08:46:25Z</cp:lastPrinted>
  <dcterms:modified xsi:type="dcterms:W3CDTF">2020-04-07T08:10:00Z</dcterms:modified>
  <cp:revision>8</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